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EE" w:rsidRPr="00CC7677" w:rsidRDefault="0021631A" w:rsidP="00F926B5">
      <w:pPr>
        <w:spacing w:line="276" w:lineRule="auto"/>
        <w:ind w:right="-97" w:firstLine="708"/>
        <w:jc w:val="both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 xml:space="preserve">Na temelju članka 32. Statuta </w:t>
      </w:r>
      <w:r>
        <w:rPr>
          <w:rFonts w:eastAsia="Calibri"/>
          <w:sz w:val="24"/>
          <w:szCs w:val="24"/>
        </w:rPr>
        <w:t>Općine Tučepi</w:t>
      </w:r>
      <w:r w:rsidRPr="00CC7677">
        <w:rPr>
          <w:rFonts w:eastAsia="Calibri"/>
          <w:sz w:val="24"/>
          <w:szCs w:val="24"/>
        </w:rPr>
        <w:t xml:space="preserve"> ("</w:t>
      </w:r>
      <w:r>
        <w:rPr>
          <w:rFonts w:eastAsia="Calibri"/>
          <w:sz w:val="24"/>
          <w:szCs w:val="24"/>
        </w:rPr>
        <w:t>G</w:t>
      </w:r>
      <w:r w:rsidRPr="00CC7677">
        <w:rPr>
          <w:rFonts w:eastAsia="Calibri"/>
          <w:sz w:val="24"/>
          <w:szCs w:val="24"/>
        </w:rPr>
        <w:t xml:space="preserve">lasnik </w:t>
      </w:r>
      <w:r>
        <w:rPr>
          <w:rFonts w:eastAsia="Calibri"/>
          <w:sz w:val="24"/>
          <w:szCs w:val="24"/>
        </w:rPr>
        <w:t>Općine Tučepi</w:t>
      </w:r>
      <w:r w:rsidRPr="00CC7677">
        <w:rPr>
          <w:rFonts w:eastAsia="Calibri"/>
          <w:sz w:val="24"/>
          <w:szCs w:val="24"/>
        </w:rPr>
        <w:t>" br.</w:t>
      </w:r>
      <w:r w:rsidRPr="00CC7677">
        <w:rPr>
          <w:rFonts w:ascii="Calibri" w:eastAsia="Calibri" w:hAnsi="Calibri"/>
          <w:szCs w:val="24"/>
        </w:rPr>
        <w:t xml:space="preserve"> </w:t>
      </w:r>
      <w:r>
        <w:rPr>
          <w:rFonts w:eastAsia="Calibri"/>
          <w:sz w:val="24"/>
          <w:szCs w:val="24"/>
        </w:rPr>
        <w:t>04/09 i</w:t>
      </w:r>
      <w:r w:rsidRPr="00CC76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01</w:t>
      </w:r>
      <w:r w:rsidRPr="00CC7677">
        <w:rPr>
          <w:rFonts w:eastAsia="Calibri"/>
          <w:sz w:val="24"/>
          <w:szCs w:val="24"/>
        </w:rPr>
        <w:t>/13)</w:t>
      </w:r>
      <w:r w:rsidR="00216AEE" w:rsidRPr="00CC7677">
        <w:rPr>
          <w:rFonts w:eastAsia="Calibri"/>
          <w:sz w:val="24"/>
          <w:szCs w:val="24"/>
        </w:rPr>
        <w:t xml:space="preserve">, a u svezi Uputa za izradu proračuna jedinica lokalne i područne (regionalne) samouprave za razdoblje 2018. - 2020. (Ministarstvo financija, kolovoz 2017.), </w:t>
      </w:r>
      <w:r w:rsidR="004E2233">
        <w:rPr>
          <w:rFonts w:eastAsia="Calibri"/>
          <w:sz w:val="24"/>
          <w:szCs w:val="24"/>
        </w:rPr>
        <w:t xml:space="preserve">Općinsko </w:t>
      </w:r>
      <w:r w:rsidR="00216AEE" w:rsidRPr="00CC7677">
        <w:rPr>
          <w:rFonts w:eastAsia="Calibri"/>
          <w:sz w:val="24"/>
          <w:szCs w:val="24"/>
        </w:rPr>
        <w:t xml:space="preserve"> vijeće </w:t>
      </w:r>
      <w:r w:rsidR="004E2233">
        <w:rPr>
          <w:rFonts w:eastAsia="Calibri"/>
          <w:sz w:val="24"/>
          <w:szCs w:val="24"/>
        </w:rPr>
        <w:t>Općine Tučepi</w:t>
      </w:r>
      <w:r w:rsidR="00216AEE" w:rsidRPr="00CC7677">
        <w:rPr>
          <w:rFonts w:eastAsia="Calibri"/>
          <w:sz w:val="24"/>
          <w:szCs w:val="24"/>
        </w:rPr>
        <w:t xml:space="preserve"> na sjednici održanoj </w:t>
      </w:r>
      <w:r w:rsidR="006E3DB9">
        <w:rPr>
          <w:rFonts w:eastAsia="Calibri"/>
          <w:sz w:val="24"/>
          <w:szCs w:val="24"/>
        </w:rPr>
        <w:t>29</w:t>
      </w:r>
      <w:r w:rsidR="00216AEE">
        <w:rPr>
          <w:rFonts w:eastAsia="Calibri"/>
          <w:sz w:val="24"/>
          <w:szCs w:val="24"/>
        </w:rPr>
        <w:t>.</w:t>
      </w:r>
      <w:r w:rsidR="00216AEE" w:rsidRPr="00CC7677">
        <w:rPr>
          <w:rFonts w:eastAsia="Calibri"/>
          <w:sz w:val="24"/>
          <w:szCs w:val="24"/>
        </w:rPr>
        <w:t xml:space="preserve"> prosinca 20</w:t>
      </w:r>
      <w:r w:rsidR="004E2233">
        <w:rPr>
          <w:rFonts w:eastAsia="Calibri"/>
          <w:sz w:val="24"/>
          <w:szCs w:val="24"/>
        </w:rPr>
        <w:t>20</w:t>
      </w:r>
      <w:r w:rsidR="00216AEE" w:rsidRPr="00CC7677">
        <w:rPr>
          <w:rFonts w:eastAsia="Calibri"/>
          <w:sz w:val="24"/>
          <w:szCs w:val="24"/>
        </w:rPr>
        <w:t>. godine donosi</w:t>
      </w:r>
    </w:p>
    <w:p w:rsidR="00216AEE" w:rsidRPr="00CC7677" w:rsidRDefault="00216AEE" w:rsidP="00216AEE">
      <w:pPr>
        <w:spacing w:line="276" w:lineRule="auto"/>
        <w:rPr>
          <w:rFonts w:eastAsia="Calibri"/>
          <w:sz w:val="24"/>
          <w:szCs w:val="24"/>
        </w:rPr>
      </w:pPr>
    </w:p>
    <w:p w:rsidR="00216AEE" w:rsidRPr="00CC7677" w:rsidRDefault="00216AEE" w:rsidP="00216AEE">
      <w:pPr>
        <w:jc w:val="both"/>
        <w:rPr>
          <w:rFonts w:eastAsia="Calibri"/>
          <w:sz w:val="24"/>
          <w:szCs w:val="24"/>
        </w:rPr>
      </w:pPr>
    </w:p>
    <w:p w:rsidR="00216AEE" w:rsidRDefault="00216AEE" w:rsidP="00216AEE">
      <w:pPr>
        <w:jc w:val="center"/>
        <w:rPr>
          <w:rFonts w:eastAsia="Calibri"/>
          <w:b/>
          <w:sz w:val="28"/>
          <w:szCs w:val="28"/>
        </w:rPr>
      </w:pPr>
    </w:p>
    <w:p w:rsidR="00216AEE" w:rsidRDefault="00216AEE" w:rsidP="00216AEE">
      <w:pPr>
        <w:jc w:val="center"/>
        <w:rPr>
          <w:rFonts w:eastAsia="Calibri"/>
          <w:b/>
          <w:sz w:val="28"/>
          <w:szCs w:val="28"/>
        </w:rPr>
      </w:pPr>
      <w:r w:rsidRPr="00CC7677">
        <w:rPr>
          <w:rFonts w:eastAsia="Calibri"/>
          <w:b/>
          <w:sz w:val="28"/>
          <w:szCs w:val="28"/>
        </w:rPr>
        <w:t>ODLUKU</w:t>
      </w:r>
    </w:p>
    <w:p w:rsidR="00216AEE" w:rsidRPr="00CC7677" w:rsidRDefault="00216AEE" w:rsidP="00216A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o usvajanju plana sukcesivnog pokrića manjka</w:t>
      </w:r>
    </w:p>
    <w:p w:rsidR="00216AEE" w:rsidRPr="00CC7677" w:rsidRDefault="00216AEE" w:rsidP="00216AEE">
      <w:pPr>
        <w:jc w:val="both"/>
        <w:rPr>
          <w:rFonts w:eastAsia="Calibri"/>
          <w:sz w:val="24"/>
          <w:szCs w:val="24"/>
        </w:rPr>
      </w:pPr>
    </w:p>
    <w:p w:rsidR="00216AEE" w:rsidRPr="00CC7677" w:rsidRDefault="00216AEE" w:rsidP="00216AEE">
      <w:pPr>
        <w:jc w:val="both"/>
        <w:rPr>
          <w:rFonts w:eastAsia="Calibri"/>
          <w:sz w:val="24"/>
          <w:szCs w:val="24"/>
        </w:rPr>
      </w:pPr>
    </w:p>
    <w:p w:rsidR="00216AEE" w:rsidRPr="00CC7677" w:rsidRDefault="00216AEE" w:rsidP="00216AEE">
      <w:pPr>
        <w:jc w:val="center"/>
        <w:rPr>
          <w:rFonts w:eastAsia="Calibri"/>
          <w:b/>
          <w:sz w:val="24"/>
          <w:szCs w:val="24"/>
        </w:rPr>
      </w:pPr>
      <w:r w:rsidRPr="00CC7677">
        <w:rPr>
          <w:rFonts w:eastAsia="Calibri"/>
          <w:b/>
          <w:sz w:val="24"/>
          <w:szCs w:val="24"/>
        </w:rPr>
        <w:t>I.</w:t>
      </w:r>
    </w:p>
    <w:p w:rsidR="00216AEE" w:rsidRPr="00CC7677" w:rsidRDefault="00216AEE" w:rsidP="00216AEE">
      <w:pPr>
        <w:jc w:val="center"/>
        <w:rPr>
          <w:rFonts w:eastAsia="Calibri"/>
          <w:b/>
          <w:sz w:val="24"/>
          <w:szCs w:val="24"/>
        </w:rPr>
      </w:pPr>
    </w:p>
    <w:p w:rsidR="00216AEE" w:rsidRPr="00CC7677" w:rsidRDefault="00216AEE" w:rsidP="00216AEE">
      <w:pPr>
        <w:ind w:firstLine="708"/>
        <w:jc w:val="both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 xml:space="preserve">Usvaja se Plan sukcesivnog pokrića manjka iz prethodnih godina </w:t>
      </w:r>
      <w:r w:rsidR="00956698">
        <w:rPr>
          <w:rFonts w:eastAsia="Calibri"/>
          <w:sz w:val="24"/>
          <w:szCs w:val="24"/>
        </w:rPr>
        <w:t>Općine Tučepi</w:t>
      </w:r>
      <w:r w:rsidRPr="00CC7677">
        <w:rPr>
          <w:rFonts w:eastAsia="Calibri"/>
          <w:sz w:val="24"/>
          <w:szCs w:val="24"/>
        </w:rPr>
        <w:t xml:space="preserve"> za razdoblje 202</w:t>
      </w:r>
      <w:r w:rsidR="004E2233">
        <w:rPr>
          <w:rFonts w:eastAsia="Calibri"/>
          <w:sz w:val="24"/>
          <w:szCs w:val="24"/>
        </w:rPr>
        <w:t>1</w:t>
      </w:r>
      <w:r w:rsidRPr="00CC7677">
        <w:rPr>
          <w:rFonts w:eastAsia="Calibri"/>
          <w:sz w:val="24"/>
          <w:szCs w:val="24"/>
        </w:rPr>
        <w:t>.-202</w:t>
      </w:r>
      <w:r w:rsidR="004E2233">
        <w:rPr>
          <w:rFonts w:eastAsia="Calibri"/>
          <w:sz w:val="24"/>
          <w:szCs w:val="24"/>
        </w:rPr>
        <w:t>3</w:t>
      </w:r>
      <w:r w:rsidRPr="00CC7677">
        <w:rPr>
          <w:rFonts w:eastAsia="Calibri"/>
          <w:sz w:val="24"/>
          <w:szCs w:val="24"/>
        </w:rPr>
        <w:t>. godine.</w:t>
      </w:r>
    </w:p>
    <w:p w:rsidR="00216AEE" w:rsidRPr="00CC7677" w:rsidRDefault="00216AEE" w:rsidP="00216AEE">
      <w:pPr>
        <w:jc w:val="both"/>
        <w:rPr>
          <w:rFonts w:eastAsia="Calibri"/>
          <w:sz w:val="24"/>
          <w:szCs w:val="24"/>
        </w:rPr>
      </w:pPr>
    </w:p>
    <w:p w:rsidR="00216AEE" w:rsidRPr="00CC7677" w:rsidRDefault="00216AEE" w:rsidP="00216AEE">
      <w:pPr>
        <w:jc w:val="center"/>
        <w:rPr>
          <w:rFonts w:eastAsia="Calibri"/>
          <w:b/>
          <w:bCs/>
          <w:sz w:val="24"/>
          <w:szCs w:val="24"/>
        </w:rPr>
      </w:pPr>
      <w:r w:rsidRPr="00CC7677">
        <w:rPr>
          <w:rFonts w:eastAsia="Calibri"/>
          <w:b/>
          <w:bCs/>
          <w:sz w:val="24"/>
          <w:szCs w:val="24"/>
        </w:rPr>
        <w:t>II.</w:t>
      </w:r>
    </w:p>
    <w:p w:rsidR="00216AEE" w:rsidRPr="00CC7677" w:rsidRDefault="00216AEE" w:rsidP="00216AEE">
      <w:pPr>
        <w:jc w:val="center"/>
        <w:rPr>
          <w:rFonts w:eastAsia="Calibri"/>
          <w:b/>
          <w:bCs/>
          <w:sz w:val="24"/>
          <w:szCs w:val="24"/>
        </w:rPr>
      </w:pPr>
    </w:p>
    <w:p w:rsidR="00216AEE" w:rsidRPr="00CC7677" w:rsidRDefault="00216AEE" w:rsidP="00216AEE">
      <w:pPr>
        <w:ind w:firstLine="708"/>
        <w:jc w:val="both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 xml:space="preserve">Plan sukcesivnog pokrića manjka iz prethodnih godina </w:t>
      </w:r>
      <w:r w:rsidR="004E2233">
        <w:rPr>
          <w:rFonts w:eastAsia="Calibri"/>
          <w:sz w:val="24"/>
          <w:szCs w:val="24"/>
        </w:rPr>
        <w:t>Općine Tučepi</w:t>
      </w:r>
      <w:r w:rsidRPr="00CC7677">
        <w:rPr>
          <w:rFonts w:eastAsia="Calibri"/>
          <w:sz w:val="24"/>
          <w:szCs w:val="24"/>
        </w:rPr>
        <w:t xml:space="preserve"> za razdoblje 202</w:t>
      </w:r>
      <w:r w:rsidR="004E2233">
        <w:rPr>
          <w:rFonts w:eastAsia="Calibri"/>
          <w:sz w:val="24"/>
          <w:szCs w:val="24"/>
        </w:rPr>
        <w:t>1</w:t>
      </w:r>
      <w:r w:rsidRPr="00CC7677">
        <w:rPr>
          <w:rFonts w:eastAsia="Calibri"/>
          <w:sz w:val="24"/>
          <w:szCs w:val="24"/>
        </w:rPr>
        <w:t>.-202</w:t>
      </w:r>
      <w:r w:rsidR="004E2233">
        <w:rPr>
          <w:rFonts w:eastAsia="Calibri"/>
          <w:sz w:val="24"/>
          <w:szCs w:val="24"/>
        </w:rPr>
        <w:t>3</w:t>
      </w:r>
      <w:r w:rsidRPr="00CC7677">
        <w:rPr>
          <w:rFonts w:eastAsia="Calibri"/>
          <w:sz w:val="24"/>
          <w:szCs w:val="24"/>
        </w:rPr>
        <w:t>. godine nalazi se u privitku ove Odluke i čini njen sastavni dio.</w:t>
      </w:r>
    </w:p>
    <w:p w:rsidR="00216AEE" w:rsidRPr="00CC7677" w:rsidRDefault="00216AEE" w:rsidP="00216AEE">
      <w:pPr>
        <w:ind w:firstLine="708"/>
        <w:jc w:val="both"/>
        <w:rPr>
          <w:rFonts w:eastAsia="Calibri"/>
          <w:sz w:val="24"/>
          <w:szCs w:val="24"/>
        </w:rPr>
      </w:pPr>
    </w:p>
    <w:p w:rsidR="00216AEE" w:rsidRPr="00CC7677" w:rsidRDefault="001175A2" w:rsidP="00216AEE">
      <w:pPr>
        <w:ind w:left="3540" w:firstLine="70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</w:t>
      </w:r>
      <w:r w:rsidR="00216AEE" w:rsidRPr="00CC7677">
        <w:rPr>
          <w:rFonts w:eastAsia="Calibri"/>
          <w:b/>
          <w:bCs/>
          <w:sz w:val="24"/>
          <w:szCs w:val="24"/>
        </w:rPr>
        <w:t xml:space="preserve">  III.</w:t>
      </w:r>
    </w:p>
    <w:p w:rsidR="00216AEE" w:rsidRPr="00CC7677" w:rsidRDefault="00216AEE" w:rsidP="00216AEE">
      <w:pPr>
        <w:jc w:val="center"/>
        <w:rPr>
          <w:rFonts w:eastAsia="Calibri"/>
          <w:b/>
          <w:bCs/>
          <w:sz w:val="24"/>
          <w:szCs w:val="24"/>
        </w:rPr>
      </w:pPr>
    </w:p>
    <w:p w:rsidR="00216AEE" w:rsidRPr="00CC7677" w:rsidRDefault="00216AEE" w:rsidP="00216AEE">
      <w:pPr>
        <w:ind w:firstLine="708"/>
        <w:jc w:val="both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>Donošenjem ove Odluke prestaje važiti Odluka o</w:t>
      </w:r>
      <w:r>
        <w:rPr>
          <w:rFonts w:eastAsia="Calibri"/>
          <w:sz w:val="24"/>
          <w:szCs w:val="24"/>
        </w:rPr>
        <w:t xml:space="preserve"> planu </w:t>
      </w:r>
      <w:r w:rsidRPr="00CC7677">
        <w:rPr>
          <w:rFonts w:eastAsia="Calibri"/>
          <w:sz w:val="24"/>
          <w:szCs w:val="24"/>
        </w:rPr>
        <w:t>pokriću manjka</w:t>
      </w:r>
      <w:r>
        <w:rPr>
          <w:rFonts w:eastAsia="Calibri"/>
          <w:sz w:val="24"/>
          <w:szCs w:val="24"/>
        </w:rPr>
        <w:t xml:space="preserve"> prihoda </w:t>
      </w:r>
      <w:r w:rsidR="004E2233">
        <w:rPr>
          <w:rFonts w:eastAsia="Calibri"/>
          <w:sz w:val="24"/>
          <w:szCs w:val="24"/>
        </w:rPr>
        <w:t>Općine  Tučepi</w:t>
      </w:r>
      <w:r>
        <w:rPr>
          <w:rFonts w:eastAsia="Calibri"/>
          <w:sz w:val="24"/>
          <w:szCs w:val="24"/>
        </w:rPr>
        <w:t xml:space="preserve"> </w:t>
      </w:r>
      <w:r w:rsidRPr="00CC7677">
        <w:rPr>
          <w:rFonts w:eastAsia="Calibri"/>
          <w:sz w:val="24"/>
          <w:szCs w:val="24"/>
        </w:rPr>
        <w:t>("</w:t>
      </w:r>
      <w:r w:rsidR="00F34A59">
        <w:rPr>
          <w:rFonts w:eastAsia="Calibri"/>
          <w:sz w:val="24"/>
          <w:szCs w:val="24"/>
        </w:rPr>
        <w:t>Glasnik Općine Tučepi br.09/20</w:t>
      </w:r>
      <w:r w:rsidRPr="00CC7677">
        <w:rPr>
          <w:rFonts w:eastAsia="Calibri"/>
          <w:sz w:val="24"/>
          <w:szCs w:val="24"/>
        </w:rPr>
        <w:t xml:space="preserve">). Ova Odluka stupa na snagu </w:t>
      </w:r>
      <w:r w:rsidR="006B6997">
        <w:rPr>
          <w:rFonts w:eastAsia="Calibri"/>
          <w:sz w:val="24"/>
          <w:szCs w:val="24"/>
        </w:rPr>
        <w:t xml:space="preserve">jedan dan nakon </w:t>
      </w:r>
      <w:r w:rsidRPr="00CC7677">
        <w:rPr>
          <w:rFonts w:eastAsia="Calibri"/>
          <w:sz w:val="24"/>
          <w:szCs w:val="24"/>
        </w:rPr>
        <w:t>objave u "</w:t>
      </w:r>
      <w:r w:rsidR="004046CB">
        <w:rPr>
          <w:rFonts w:eastAsia="Calibri"/>
          <w:sz w:val="24"/>
          <w:szCs w:val="24"/>
        </w:rPr>
        <w:t>G</w:t>
      </w:r>
      <w:r w:rsidRPr="00CC7677">
        <w:rPr>
          <w:rFonts w:eastAsia="Calibri"/>
          <w:sz w:val="24"/>
          <w:szCs w:val="24"/>
        </w:rPr>
        <w:t xml:space="preserve">lasniku </w:t>
      </w:r>
      <w:r w:rsidR="004046CB">
        <w:rPr>
          <w:rFonts w:eastAsia="Calibri"/>
          <w:sz w:val="24"/>
          <w:szCs w:val="24"/>
        </w:rPr>
        <w:t>Općine Tučepi</w:t>
      </w:r>
      <w:r w:rsidRPr="00CC7677">
        <w:rPr>
          <w:rFonts w:eastAsia="Calibri"/>
          <w:sz w:val="24"/>
          <w:szCs w:val="24"/>
        </w:rPr>
        <w:t>"</w:t>
      </w:r>
      <w:r>
        <w:rPr>
          <w:rFonts w:eastAsia="Calibri"/>
          <w:sz w:val="24"/>
          <w:szCs w:val="24"/>
        </w:rPr>
        <w:t>.</w:t>
      </w:r>
    </w:p>
    <w:p w:rsidR="00216AEE" w:rsidRPr="00CC7677" w:rsidRDefault="00216AEE" w:rsidP="00216AEE">
      <w:pPr>
        <w:jc w:val="both"/>
        <w:rPr>
          <w:rFonts w:eastAsia="Calibri"/>
          <w:sz w:val="24"/>
          <w:szCs w:val="24"/>
        </w:rPr>
      </w:pPr>
    </w:p>
    <w:p w:rsidR="00216AEE" w:rsidRPr="00CC7677" w:rsidRDefault="00216AEE" w:rsidP="00216AEE">
      <w:pPr>
        <w:ind w:left="-567" w:firstLine="567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 xml:space="preserve">KLASA: </w:t>
      </w:r>
      <w:r w:rsidR="00E4282A">
        <w:rPr>
          <w:rFonts w:eastAsia="Calibri"/>
          <w:sz w:val="24"/>
          <w:szCs w:val="24"/>
        </w:rPr>
        <w:t xml:space="preserve">  400-08/20-01/03</w:t>
      </w:r>
    </w:p>
    <w:p w:rsidR="00216AEE" w:rsidRPr="00CC7677" w:rsidRDefault="00216AEE" w:rsidP="00216AEE">
      <w:pPr>
        <w:ind w:left="-567" w:firstLine="567"/>
        <w:rPr>
          <w:rFonts w:eastAsia="Calibri"/>
          <w:sz w:val="24"/>
          <w:szCs w:val="24"/>
        </w:rPr>
      </w:pPr>
      <w:r w:rsidRPr="00CC7677">
        <w:rPr>
          <w:rFonts w:eastAsia="Calibri"/>
          <w:sz w:val="24"/>
          <w:szCs w:val="24"/>
        </w:rPr>
        <w:t xml:space="preserve">URBROJ: </w:t>
      </w:r>
      <w:r w:rsidR="00E4282A">
        <w:rPr>
          <w:rFonts w:eastAsia="Calibri"/>
          <w:sz w:val="24"/>
          <w:szCs w:val="24"/>
        </w:rPr>
        <w:t>2147/06-01-20-09</w:t>
      </w:r>
    </w:p>
    <w:p w:rsidR="00216AEE" w:rsidRPr="00CC7677" w:rsidRDefault="004E2233" w:rsidP="00216AEE">
      <w:pPr>
        <w:ind w:left="-567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Tučepi</w:t>
      </w:r>
      <w:r w:rsidR="00216AEE" w:rsidRPr="00CC7677">
        <w:rPr>
          <w:rFonts w:eastAsia="Calibri"/>
          <w:sz w:val="24"/>
          <w:szCs w:val="24"/>
        </w:rPr>
        <w:t>,</w:t>
      </w:r>
      <w:r w:rsidR="00216AEE">
        <w:rPr>
          <w:rFonts w:eastAsia="Calibri"/>
          <w:sz w:val="24"/>
          <w:szCs w:val="24"/>
        </w:rPr>
        <w:t xml:space="preserve"> </w:t>
      </w:r>
      <w:r w:rsidR="00B539AE">
        <w:rPr>
          <w:rFonts w:eastAsia="Calibri"/>
          <w:sz w:val="24"/>
          <w:szCs w:val="24"/>
        </w:rPr>
        <w:t>29</w:t>
      </w:r>
      <w:bookmarkStart w:id="0" w:name="_GoBack"/>
      <w:bookmarkEnd w:id="0"/>
      <w:r w:rsidR="00216AEE">
        <w:rPr>
          <w:rFonts w:eastAsia="Calibri"/>
          <w:sz w:val="24"/>
          <w:szCs w:val="24"/>
        </w:rPr>
        <w:t>.</w:t>
      </w:r>
      <w:r w:rsidR="00216AEE" w:rsidRPr="00CC7677">
        <w:rPr>
          <w:rFonts w:eastAsia="Calibri"/>
          <w:sz w:val="24"/>
          <w:szCs w:val="24"/>
        </w:rPr>
        <w:t>prosinca 20</w:t>
      </w:r>
      <w:r>
        <w:rPr>
          <w:rFonts w:eastAsia="Calibri"/>
          <w:sz w:val="24"/>
          <w:szCs w:val="24"/>
        </w:rPr>
        <w:t>20</w:t>
      </w:r>
      <w:r w:rsidR="00216AEE" w:rsidRPr="00CC7677">
        <w:rPr>
          <w:rFonts w:eastAsia="Calibri"/>
          <w:sz w:val="24"/>
          <w:szCs w:val="24"/>
        </w:rPr>
        <w:t>.</w:t>
      </w:r>
    </w:p>
    <w:p w:rsidR="00216AEE" w:rsidRPr="00CC7677" w:rsidRDefault="00216AEE" w:rsidP="00216AEE">
      <w:pPr>
        <w:rPr>
          <w:sz w:val="24"/>
          <w:szCs w:val="24"/>
        </w:rPr>
      </w:pPr>
    </w:p>
    <w:p w:rsidR="00216AEE" w:rsidRPr="00CC7677" w:rsidRDefault="00216AEE" w:rsidP="00216AEE">
      <w:pPr>
        <w:rPr>
          <w:sz w:val="24"/>
          <w:szCs w:val="24"/>
        </w:rPr>
      </w:pPr>
    </w:p>
    <w:p w:rsidR="00216AEE" w:rsidRPr="00CC7677" w:rsidRDefault="00216AEE" w:rsidP="00216AEE">
      <w:pPr>
        <w:rPr>
          <w:sz w:val="24"/>
          <w:szCs w:val="24"/>
        </w:rPr>
      </w:pPr>
    </w:p>
    <w:p w:rsidR="00216AEE" w:rsidRPr="00CC7677" w:rsidRDefault="00216AEE" w:rsidP="00216AEE">
      <w:pPr>
        <w:rPr>
          <w:sz w:val="24"/>
          <w:szCs w:val="24"/>
        </w:rPr>
      </w:pPr>
    </w:p>
    <w:p w:rsidR="00216AEE" w:rsidRPr="00CC7677" w:rsidRDefault="00216AEE" w:rsidP="00216AEE">
      <w:pPr>
        <w:rPr>
          <w:sz w:val="24"/>
          <w:szCs w:val="24"/>
        </w:rPr>
      </w:pPr>
    </w:p>
    <w:p w:rsidR="00216AEE" w:rsidRPr="00CC7677" w:rsidRDefault="00DA4D9D" w:rsidP="00216A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Općinsko vijeće Općine Tučepi</w:t>
      </w:r>
    </w:p>
    <w:p w:rsidR="00216AEE" w:rsidRPr="00CC7677" w:rsidRDefault="00216AEE" w:rsidP="00216AEE">
      <w:pPr>
        <w:jc w:val="both"/>
        <w:rPr>
          <w:sz w:val="24"/>
          <w:szCs w:val="24"/>
        </w:rPr>
      </w:pP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Pr="00CC7677">
        <w:rPr>
          <w:sz w:val="24"/>
          <w:szCs w:val="24"/>
        </w:rPr>
        <w:tab/>
      </w:r>
      <w:r w:rsidR="00DA4D9D">
        <w:rPr>
          <w:sz w:val="24"/>
          <w:szCs w:val="24"/>
        </w:rPr>
        <w:t xml:space="preserve">  Predsjednik općinskog vijeća</w:t>
      </w:r>
      <w:r w:rsidRPr="00CC7677">
        <w:rPr>
          <w:sz w:val="24"/>
          <w:szCs w:val="24"/>
        </w:rPr>
        <w:tab/>
      </w:r>
    </w:p>
    <w:p w:rsidR="00216AEE" w:rsidRPr="00CC7677" w:rsidRDefault="00216AEE" w:rsidP="00216AEE">
      <w:pPr>
        <w:jc w:val="both"/>
        <w:rPr>
          <w:sz w:val="24"/>
          <w:szCs w:val="24"/>
        </w:rPr>
      </w:pPr>
      <w:r w:rsidRPr="00CC7677">
        <w:rPr>
          <w:color w:val="000000"/>
          <w:sz w:val="24"/>
          <w:szCs w:val="24"/>
          <w:lang w:eastAsia="hr-HR"/>
        </w:rPr>
        <w:t xml:space="preserve">       </w:t>
      </w:r>
      <w:r w:rsidRPr="00CC7677">
        <w:rPr>
          <w:color w:val="000000"/>
          <w:sz w:val="24"/>
          <w:szCs w:val="24"/>
          <w:lang w:eastAsia="hr-HR"/>
        </w:rPr>
        <w:tab/>
        <w:t xml:space="preserve"> </w:t>
      </w:r>
      <w:r w:rsidRPr="00CC7677">
        <w:rPr>
          <w:color w:val="000000"/>
          <w:sz w:val="24"/>
          <w:szCs w:val="24"/>
          <w:lang w:eastAsia="hr-HR"/>
        </w:rPr>
        <w:tab/>
      </w:r>
      <w:r w:rsidRPr="00CC7677">
        <w:rPr>
          <w:color w:val="000000"/>
          <w:sz w:val="24"/>
          <w:szCs w:val="24"/>
          <w:lang w:eastAsia="hr-HR"/>
        </w:rPr>
        <w:tab/>
      </w:r>
      <w:r w:rsidRPr="00CC7677">
        <w:rPr>
          <w:color w:val="000000"/>
          <w:sz w:val="24"/>
          <w:szCs w:val="24"/>
          <w:lang w:eastAsia="hr-HR"/>
        </w:rPr>
        <w:tab/>
      </w:r>
      <w:r w:rsidRPr="00CC7677">
        <w:rPr>
          <w:color w:val="000000"/>
          <w:sz w:val="24"/>
          <w:szCs w:val="24"/>
          <w:lang w:eastAsia="hr-HR"/>
        </w:rPr>
        <w:tab/>
      </w:r>
      <w:r w:rsidRPr="00CC7677">
        <w:rPr>
          <w:color w:val="000000"/>
          <w:sz w:val="24"/>
          <w:szCs w:val="24"/>
          <w:lang w:eastAsia="hr-HR"/>
        </w:rPr>
        <w:tab/>
      </w:r>
      <w:r w:rsidRPr="00CC7677">
        <w:rPr>
          <w:color w:val="000000"/>
          <w:sz w:val="24"/>
          <w:szCs w:val="24"/>
          <w:lang w:eastAsia="hr-HR"/>
        </w:rPr>
        <w:tab/>
        <w:t xml:space="preserve"> </w:t>
      </w:r>
      <w:r w:rsidRPr="00CC7677">
        <w:rPr>
          <w:color w:val="000000"/>
          <w:sz w:val="24"/>
          <w:szCs w:val="24"/>
          <w:lang w:eastAsia="hr-HR"/>
        </w:rPr>
        <w:tab/>
      </w:r>
      <w:r w:rsidR="00DA4D9D">
        <w:rPr>
          <w:color w:val="000000"/>
          <w:sz w:val="24"/>
          <w:szCs w:val="24"/>
          <w:lang w:eastAsia="hr-HR"/>
        </w:rPr>
        <w:t xml:space="preserve">    Željko Matić</w:t>
      </w: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216AEE" w:rsidRDefault="00216AEE" w:rsidP="003F237D">
      <w:pPr>
        <w:pStyle w:val="Default"/>
        <w:rPr>
          <w:b/>
          <w:bCs/>
          <w:sz w:val="26"/>
          <w:szCs w:val="26"/>
        </w:rPr>
      </w:pPr>
    </w:p>
    <w:p w:rsidR="00415016" w:rsidRDefault="003F237D" w:rsidP="003F237D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PLAN SUKCESIVNOG POKRIĆA MANJKA IZ PRETHODNIH GODINA </w:t>
      </w:r>
      <w:r w:rsidR="00644CAA">
        <w:rPr>
          <w:b/>
          <w:bCs/>
          <w:sz w:val="26"/>
          <w:szCs w:val="26"/>
        </w:rPr>
        <w:t xml:space="preserve">OPĆINE TUČEPI </w:t>
      </w:r>
      <w:r>
        <w:rPr>
          <w:b/>
          <w:bCs/>
          <w:sz w:val="26"/>
          <w:szCs w:val="26"/>
        </w:rPr>
        <w:t>ZA RAZDOBLJE 202</w:t>
      </w:r>
      <w:r w:rsidR="00D23D01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 – 202</w:t>
      </w:r>
      <w:r w:rsidR="00D23D01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. GODINE </w:t>
      </w:r>
    </w:p>
    <w:p w:rsidR="00415016" w:rsidRDefault="00415016" w:rsidP="003F237D">
      <w:pPr>
        <w:pStyle w:val="Default"/>
        <w:rPr>
          <w:b/>
          <w:bCs/>
          <w:sz w:val="26"/>
          <w:szCs w:val="26"/>
        </w:rPr>
      </w:pPr>
    </w:p>
    <w:p w:rsidR="00415016" w:rsidRDefault="003F237D" w:rsidP="003F237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UVOD </w:t>
      </w:r>
    </w:p>
    <w:p w:rsidR="00415016" w:rsidRDefault="00415016" w:rsidP="003F237D">
      <w:pPr>
        <w:pStyle w:val="Default"/>
        <w:rPr>
          <w:sz w:val="22"/>
          <w:szCs w:val="22"/>
        </w:rPr>
      </w:pPr>
    </w:p>
    <w:p w:rsidR="003F237D" w:rsidRDefault="003F237D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 skladu s Uputama za izradu proračuna Jedinica lokalne i područne (regionalne) samouprave za razdoblje 2018. – 2020., izrađena je analiza financijskog stanja </w:t>
      </w:r>
      <w:r w:rsidR="001A522C">
        <w:rPr>
          <w:sz w:val="22"/>
          <w:szCs w:val="22"/>
        </w:rPr>
        <w:t>Općine Tučepi</w:t>
      </w:r>
      <w:r>
        <w:rPr>
          <w:sz w:val="22"/>
          <w:szCs w:val="22"/>
        </w:rPr>
        <w:t xml:space="preserve"> radi što kvalitetnije procjene ukupnog rezultata za 20</w:t>
      </w:r>
      <w:r w:rsidR="001A522C">
        <w:rPr>
          <w:sz w:val="22"/>
          <w:szCs w:val="22"/>
        </w:rPr>
        <w:t>20</w:t>
      </w:r>
      <w:r>
        <w:rPr>
          <w:sz w:val="22"/>
          <w:szCs w:val="22"/>
        </w:rPr>
        <w:t>. godinu te izrade plana pokrića manjka utvrđenog na dan 31.12.201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>. godine. Na temelju sagledanih pokazatelja sastavljen je prijedlog mjera za pokriće manjka i akcijski plan za njihovu provedbu. U analizi financijskog stanja korišteni su podaci iz financijskih izvještaja razine 22 iz 201</w:t>
      </w:r>
      <w:r w:rsidR="001A522C">
        <w:rPr>
          <w:sz w:val="22"/>
          <w:szCs w:val="22"/>
        </w:rPr>
        <w:t>8</w:t>
      </w:r>
      <w:r>
        <w:rPr>
          <w:sz w:val="22"/>
          <w:szCs w:val="22"/>
        </w:rPr>
        <w:t>. i 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godine. </w:t>
      </w:r>
    </w:p>
    <w:p w:rsidR="003F237D" w:rsidRDefault="003F237D" w:rsidP="003F237D">
      <w:pPr>
        <w:pStyle w:val="Default"/>
        <w:rPr>
          <w:sz w:val="22"/>
          <w:szCs w:val="22"/>
        </w:rPr>
      </w:pPr>
    </w:p>
    <w:p w:rsidR="00415016" w:rsidRDefault="003F237D" w:rsidP="003F237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ANALIZA I OCJENA POSTOJEĆEG FINANCIJSKOG STANJA </w:t>
      </w:r>
    </w:p>
    <w:p w:rsidR="00415016" w:rsidRDefault="00415016" w:rsidP="003F237D">
      <w:pPr>
        <w:pStyle w:val="Default"/>
        <w:rPr>
          <w:b/>
          <w:bCs/>
          <w:sz w:val="22"/>
          <w:szCs w:val="22"/>
        </w:rPr>
      </w:pPr>
    </w:p>
    <w:p w:rsidR="00415016" w:rsidRDefault="003F237D" w:rsidP="003F237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Bilanca na dan 31.12.201</w:t>
      </w:r>
      <w:r w:rsidR="001A522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</w:p>
    <w:p w:rsidR="00415016" w:rsidRDefault="00415016" w:rsidP="003F237D">
      <w:pPr>
        <w:pStyle w:val="Default"/>
        <w:rPr>
          <w:b/>
          <w:bCs/>
          <w:sz w:val="22"/>
          <w:szCs w:val="22"/>
        </w:rPr>
      </w:pPr>
    </w:p>
    <w:p w:rsidR="003F237D" w:rsidRDefault="003F237D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Prema podacima iz Bilance na dan 31. prosinca 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 ukupna vrijednost imovine te obveza i vlastitih izvora iskazana je u iznosu od </w:t>
      </w:r>
      <w:r w:rsidR="00DE46E6">
        <w:rPr>
          <w:sz w:val="22"/>
          <w:szCs w:val="22"/>
        </w:rPr>
        <w:t>91</w:t>
      </w:r>
      <w:r>
        <w:rPr>
          <w:sz w:val="22"/>
          <w:szCs w:val="22"/>
        </w:rPr>
        <w:t>.</w:t>
      </w:r>
      <w:r w:rsidR="00DE46E6">
        <w:rPr>
          <w:sz w:val="22"/>
          <w:szCs w:val="22"/>
        </w:rPr>
        <w:t>973</w:t>
      </w:r>
      <w:r>
        <w:rPr>
          <w:sz w:val="22"/>
          <w:szCs w:val="22"/>
        </w:rPr>
        <w:t>.</w:t>
      </w:r>
      <w:r w:rsidR="00DE46E6">
        <w:rPr>
          <w:sz w:val="22"/>
          <w:szCs w:val="22"/>
        </w:rPr>
        <w:t>173,7</w:t>
      </w:r>
      <w:r>
        <w:rPr>
          <w:sz w:val="22"/>
          <w:szCs w:val="22"/>
        </w:rPr>
        <w:t xml:space="preserve">5 kn i u odnosu na prethodnu godinu </w:t>
      </w:r>
      <w:r w:rsidR="00DE46E6">
        <w:rPr>
          <w:sz w:val="22"/>
          <w:szCs w:val="22"/>
        </w:rPr>
        <w:t xml:space="preserve">veća </w:t>
      </w:r>
      <w:r>
        <w:rPr>
          <w:sz w:val="22"/>
          <w:szCs w:val="22"/>
        </w:rPr>
        <w:t xml:space="preserve">je za </w:t>
      </w:r>
      <w:r w:rsidR="009951CA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9951CA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9951CA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9951CA">
        <w:rPr>
          <w:sz w:val="22"/>
          <w:szCs w:val="22"/>
        </w:rPr>
        <w:t>818,</w:t>
      </w:r>
      <w:r>
        <w:rPr>
          <w:sz w:val="22"/>
          <w:szCs w:val="22"/>
        </w:rPr>
        <w:t>31 kn. U nastavku se daje tabelarni prikaz stanja Bilance na početku i na kraju 201</w:t>
      </w:r>
      <w:r w:rsidR="002B53EE">
        <w:rPr>
          <w:sz w:val="22"/>
          <w:szCs w:val="22"/>
        </w:rPr>
        <w:t>9</w:t>
      </w:r>
      <w:r>
        <w:rPr>
          <w:sz w:val="22"/>
          <w:szCs w:val="22"/>
        </w:rPr>
        <w:t xml:space="preserve">. godine </w:t>
      </w:r>
    </w:p>
    <w:p w:rsidR="003F237D" w:rsidRDefault="003F237D" w:rsidP="003F237D">
      <w:pPr>
        <w:pStyle w:val="Default"/>
        <w:rPr>
          <w:sz w:val="22"/>
          <w:szCs w:val="22"/>
        </w:rPr>
      </w:pPr>
    </w:p>
    <w:p w:rsidR="003F237D" w:rsidRDefault="003F237D" w:rsidP="003F237D">
      <w:pPr>
        <w:pStyle w:val="Default"/>
        <w:rPr>
          <w:sz w:val="22"/>
          <w:szCs w:val="22"/>
        </w:rPr>
      </w:pPr>
    </w:p>
    <w:p w:rsidR="003F237D" w:rsidRDefault="003F237D" w:rsidP="003F237D">
      <w:pPr>
        <w:pStyle w:val="Default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2024"/>
      </w:tblGrid>
      <w:tr w:rsidR="00CF0385" w:rsidTr="00E83EA2">
        <w:tc>
          <w:tcPr>
            <w:tcW w:w="5949" w:type="dxa"/>
            <w:shd w:val="clear" w:color="auto" w:fill="7F7F7F" w:themeFill="text1" w:themeFillTint="80"/>
          </w:tcPr>
          <w:p w:rsidR="00CF0385" w:rsidRPr="000E1BCB" w:rsidRDefault="00CF0385" w:rsidP="00CF0385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Opis</w:t>
            </w:r>
          </w:p>
          <w:p w:rsidR="00CF0385" w:rsidRPr="000E1BCB" w:rsidRDefault="00CF0385" w:rsidP="00CF03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CF0385" w:rsidRPr="000E1BCB" w:rsidRDefault="00CF0385" w:rsidP="00CF0385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Stanje 01.01.2019. (kn)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7F7F7F" w:themeFill="text1" w:themeFillTint="80"/>
          </w:tcPr>
          <w:p w:rsidR="00CF0385" w:rsidRPr="000E1BCB" w:rsidRDefault="00CF0385" w:rsidP="00CF0385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Stanje 31.12.201</w:t>
            </w:r>
            <w:r w:rsidR="003065B2" w:rsidRPr="000E1BCB">
              <w:rPr>
                <w:b/>
                <w:bCs/>
                <w:sz w:val="20"/>
                <w:szCs w:val="20"/>
              </w:rPr>
              <w:t>9</w:t>
            </w:r>
            <w:r w:rsidRPr="000E1BCB">
              <w:rPr>
                <w:b/>
                <w:bCs/>
                <w:sz w:val="20"/>
                <w:szCs w:val="20"/>
              </w:rPr>
              <w:t>. (kn)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</w:tr>
      <w:tr w:rsidR="00CF0385" w:rsidTr="00E83EA2">
        <w:tc>
          <w:tcPr>
            <w:tcW w:w="5949" w:type="dxa"/>
            <w:shd w:val="clear" w:color="auto" w:fill="D0CECE" w:themeFill="background2" w:themeFillShade="E6"/>
          </w:tcPr>
          <w:p w:rsidR="00CF0385" w:rsidRPr="000E1BCB" w:rsidRDefault="00CF0385" w:rsidP="00CF038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Nefinancijska imovina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CF0385" w:rsidRPr="00E83EA2" w:rsidRDefault="007703F0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83EA2">
              <w:rPr>
                <w:b/>
                <w:bCs/>
                <w:sz w:val="20"/>
                <w:szCs w:val="20"/>
              </w:rPr>
              <w:t>74.584.241</w:t>
            </w:r>
            <w:r w:rsidR="00074F0D">
              <w:rPr>
                <w:b/>
                <w:bCs/>
                <w:sz w:val="20"/>
                <w:szCs w:val="20"/>
              </w:rPr>
              <w:t>,28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:rsidR="00CF0385" w:rsidRPr="00E83EA2" w:rsidRDefault="007703F0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83EA2">
              <w:rPr>
                <w:b/>
                <w:bCs/>
                <w:sz w:val="20"/>
                <w:szCs w:val="20"/>
              </w:rPr>
              <w:t>84.352.38</w:t>
            </w:r>
            <w:r w:rsidR="00CD1AED">
              <w:rPr>
                <w:b/>
                <w:bCs/>
                <w:sz w:val="20"/>
                <w:szCs w:val="20"/>
              </w:rPr>
              <w:t>3,70</w:t>
            </w:r>
          </w:p>
        </w:tc>
      </w:tr>
      <w:tr w:rsidR="00CF0385" w:rsidTr="00CF0385">
        <w:tc>
          <w:tcPr>
            <w:tcW w:w="5949" w:type="dxa"/>
          </w:tcPr>
          <w:p w:rsidR="00CF0385" w:rsidRPr="000E1BCB" w:rsidRDefault="00CF0385" w:rsidP="00CF038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Neproizvedena dugotrajna imovina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36.468.179</w:t>
            </w:r>
            <w:r w:rsidR="00074F0D">
              <w:rPr>
                <w:sz w:val="20"/>
                <w:szCs w:val="20"/>
              </w:rPr>
              <w:t>,77</w:t>
            </w:r>
          </w:p>
        </w:tc>
        <w:tc>
          <w:tcPr>
            <w:tcW w:w="2024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38.512.14</w:t>
            </w:r>
            <w:r w:rsidR="00CD1AED">
              <w:rPr>
                <w:sz w:val="20"/>
                <w:szCs w:val="20"/>
              </w:rPr>
              <w:t>8,82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F0385" w:rsidTr="00CF0385">
        <w:tc>
          <w:tcPr>
            <w:tcW w:w="5949" w:type="dxa"/>
          </w:tcPr>
          <w:p w:rsidR="00CF0385" w:rsidRPr="000E1BCB" w:rsidRDefault="00CF0385" w:rsidP="00CF038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Proizvedena dugotrajna imovina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38.116.06</w:t>
            </w:r>
            <w:r w:rsidR="00074F0D">
              <w:rPr>
                <w:sz w:val="20"/>
                <w:szCs w:val="20"/>
              </w:rPr>
              <w:t>1,51</w:t>
            </w:r>
          </w:p>
        </w:tc>
        <w:tc>
          <w:tcPr>
            <w:tcW w:w="2024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45.840.23</w:t>
            </w:r>
            <w:r w:rsidR="00CD1AED">
              <w:rPr>
                <w:sz w:val="20"/>
                <w:szCs w:val="20"/>
              </w:rPr>
              <w:t>4,88</w:t>
            </w:r>
          </w:p>
        </w:tc>
      </w:tr>
      <w:tr w:rsidR="00CF0385" w:rsidTr="00E83EA2">
        <w:tc>
          <w:tcPr>
            <w:tcW w:w="5949" w:type="dxa"/>
            <w:shd w:val="clear" w:color="auto" w:fill="D0CECE" w:themeFill="background2" w:themeFillShade="E6"/>
          </w:tcPr>
          <w:p w:rsidR="00CF0385" w:rsidRPr="000E1BCB" w:rsidRDefault="00CF0385" w:rsidP="00CF038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Financijska imovina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CF0385" w:rsidRPr="00E83EA2" w:rsidRDefault="007703F0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83EA2">
              <w:rPr>
                <w:b/>
                <w:bCs/>
                <w:sz w:val="20"/>
                <w:szCs w:val="20"/>
              </w:rPr>
              <w:t>8.219.114</w:t>
            </w:r>
            <w:r w:rsidR="00CD1AED">
              <w:rPr>
                <w:b/>
                <w:bCs/>
                <w:sz w:val="20"/>
                <w:szCs w:val="20"/>
              </w:rPr>
              <w:t>,16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:rsidR="00CF0385" w:rsidRPr="00E83EA2" w:rsidRDefault="007703F0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83EA2">
              <w:rPr>
                <w:b/>
                <w:bCs/>
                <w:sz w:val="20"/>
                <w:szCs w:val="20"/>
              </w:rPr>
              <w:t>7.620.790</w:t>
            </w:r>
            <w:r w:rsidR="005354E8">
              <w:rPr>
                <w:b/>
                <w:bCs/>
                <w:sz w:val="20"/>
                <w:szCs w:val="20"/>
              </w:rPr>
              <w:t>,05</w:t>
            </w:r>
          </w:p>
        </w:tc>
      </w:tr>
      <w:tr w:rsidR="00CF0385" w:rsidTr="00CF0385">
        <w:tc>
          <w:tcPr>
            <w:tcW w:w="5949" w:type="dxa"/>
          </w:tcPr>
          <w:p w:rsidR="00CF0385" w:rsidRPr="000E1BCB" w:rsidRDefault="00CF0385" w:rsidP="00CF038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Novac u banci i blagajni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1.684.4</w:t>
            </w:r>
            <w:r w:rsidR="00CD1AED">
              <w:rPr>
                <w:sz w:val="20"/>
                <w:szCs w:val="20"/>
              </w:rPr>
              <w:t>39,51</w:t>
            </w:r>
          </w:p>
        </w:tc>
        <w:tc>
          <w:tcPr>
            <w:tcW w:w="2024" w:type="dxa"/>
          </w:tcPr>
          <w:p w:rsidR="00CF0385" w:rsidRPr="000E1BCB" w:rsidRDefault="007703F0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457.02</w:t>
            </w:r>
            <w:r w:rsidR="00CD1AED">
              <w:rPr>
                <w:sz w:val="20"/>
                <w:szCs w:val="20"/>
              </w:rPr>
              <w:t>4,61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Depoziti, jamčevni polozi i potraživanja od zaposlenih te za više plaćene poreze i ostalo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7.86</w:t>
            </w:r>
            <w:r w:rsidR="00CD1AED">
              <w:rPr>
                <w:sz w:val="20"/>
                <w:szCs w:val="20"/>
              </w:rPr>
              <w:t>4,86</w:t>
            </w:r>
          </w:p>
        </w:tc>
        <w:tc>
          <w:tcPr>
            <w:tcW w:w="2024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20.619</w:t>
            </w:r>
            <w:r w:rsidR="00CD1AED">
              <w:rPr>
                <w:sz w:val="20"/>
                <w:szCs w:val="20"/>
              </w:rPr>
              <w:t>,02</w:t>
            </w:r>
          </w:p>
        </w:tc>
      </w:tr>
      <w:tr w:rsidR="00E7631C" w:rsidTr="00CF0385">
        <w:tc>
          <w:tcPr>
            <w:tcW w:w="5949" w:type="dxa"/>
          </w:tcPr>
          <w:p w:rsidR="00E7631C" w:rsidRPr="000E1BCB" w:rsidRDefault="00E7631C" w:rsidP="00E7631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Dionice i udjeli u glavnici </w:t>
            </w:r>
          </w:p>
          <w:p w:rsidR="00E7631C" w:rsidRPr="000E1BCB" w:rsidRDefault="00E7631C" w:rsidP="00E763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7631C" w:rsidRPr="000E1BCB" w:rsidRDefault="00E7631C" w:rsidP="00E763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2.568.500</w:t>
            </w:r>
            <w:r w:rsidR="00CD1AED">
              <w:rPr>
                <w:sz w:val="20"/>
                <w:szCs w:val="20"/>
              </w:rPr>
              <w:t>,00</w:t>
            </w:r>
          </w:p>
        </w:tc>
        <w:tc>
          <w:tcPr>
            <w:tcW w:w="2024" w:type="dxa"/>
          </w:tcPr>
          <w:p w:rsidR="00E7631C" w:rsidRPr="000E1BCB" w:rsidRDefault="00E7631C" w:rsidP="00E763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2.568.500</w:t>
            </w:r>
            <w:r w:rsidR="00CD1AED">
              <w:rPr>
                <w:sz w:val="20"/>
                <w:szCs w:val="20"/>
              </w:rPr>
              <w:t>,00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Potraživanja za prihode poslovanja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3.793.423</w:t>
            </w:r>
            <w:r w:rsidR="00CD1AED">
              <w:rPr>
                <w:sz w:val="20"/>
                <w:szCs w:val="20"/>
              </w:rPr>
              <w:t>,71</w:t>
            </w:r>
          </w:p>
        </w:tc>
        <w:tc>
          <w:tcPr>
            <w:tcW w:w="2024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4.450.006</w:t>
            </w:r>
            <w:r w:rsidR="00CD1AED">
              <w:rPr>
                <w:sz w:val="20"/>
                <w:szCs w:val="20"/>
              </w:rPr>
              <w:t>,03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Potraživanja od prodaje nefinancijske imovine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20.370</w:t>
            </w:r>
            <w:r w:rsidR="003B494B">
              <w:rPr>
                <w:sz w:val="20"/>
                <w:szCs w:val="20"/>
              </w:rPr>
              <w:t>,00</w:t>
            </w:r>
          </w:p>
        </w:tc>
        <w:tc>
          <w:tcPr>
            <w:tcW w:w="2024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40.235</w:t>
            </w:r>
            <w:r w:rsidR="003B494B">
              <w:rPr>
                <w:sz w:val="20"/>
                <w:szCs w:val="20"/>
              </w:rPr>
              <w:t>,69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Plaćeni rashodi budućeg razdoblja i nedospjela naplata prihoda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144.516</w:t>
            </w:r>
            <w:r w:rsidR="003B494B">
              <w:rPr>
                <w:sz w:val="20"/>
                <w:szCs w:val="20"/>
              </w:rPr>
              <w:t>,08</w:t>
            </w:r>
          </w:p>
        </w:tc>
        <w:tc>
          <w:tcPr>
            <w:tcW w:w="2024" w:type="dxa"/>
          </w:tcPr>
          <w:p w:rsidR="00CF0385" w:rsidRPr="000E1BCB" w:rsidRDefault="00E7631C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84.40</w:t>
            </w:r>
            <w:r w:rsidR="003B494B">
              <w:rPr>
                <w:sz w:val="20"/>
                <w:szCs w:val="20"/>
              </w:rPr>
              <w:t>4,70</w:t>
            </w:r>
          </w:p>
        </w:tc>
      </w:tr>
      <w:tr w:rsidR="00CF0385" w:rsidTr="00E83EA2">
        <w:tc>
          <w:tcPr>
            <w:tcW w:w="5949" w:type="dxa"/>
            <w:shd w:val="clear" w:color="auto" w:fill="D0CECE" w:themeFill="background2" w:themeFillShade="E6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Obveze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CF0385" w:rsidRPr="00E83EA2" w:rsidRDefault="006B7B14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83EA2">
              <w:rPr>
                <w:b/>
                <w:bCs/>
                <w:sz w:val="20"/>
                <w:szCs w:val="20"/>
              </w:rPr>
              <w:t>1.749.267</w:t>
            </w:r>
            <w:r w:rsidR="005354E8">
              <w:rPr>
                <w:b/>
                <w:bCs/>
                <w:sz w:val="20"/>
                <w:szCs w:val="20"/>
              </w:rPr>
              <w:t>,04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:rsidR="00CF0385" w:rsidRPr="00E83EA2" w:rsidRDefault="006B7B14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E83EA2">
              <w:rPr>
                <w:b/>
                <w:bCs/>
                <w:sz w:val="20"/>
                <w:szCs w:val="20"/>
              </w:rPr>
              <w:t>3.564.61</w:t>
            </w:r>
            <w:r w:rsidR="005354E8">
              <w:rPr>
                <w:b/>
                <w:bCs/>
                <w:sz w:val="20"/>
                <w:szCs w:val="20"/>
              </w:rPr>
              <w:t>7,54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Obveze za rashode poslovanja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6B7B14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729.667</w:t>
            </w:r>
            <w:r w:rsidR="005354E8">
              <w:rPr>
                <w:sz w:val="20"/>
                <w:szCs w:val="20"/>
              </w:rPr>
              <w:t>,45</w:t>
            </w:r>
          </w:p>
        </w:tc>
        <w:tc>
          <w:tcPr>
            <w:tcW w:w="2024" w:type="dxa"/>
          </w:tcPr>
          <w:p w:rsidR="00CF0385" w:rsidRPr="000E1BCB" w:rsidRDefault="006B7B14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764.614</w:t>
            </w:r>
            <w:r w:rsidR="005354E8">
              <w:rPr>
                <w:sz w:val="20"/>
                <w:szCs w:val="20"/>
              </w:rPr>
              <w:t>,16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Obveze za nabavu nefinancijske imovine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6B7B14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1.019.</w:t>
            </w:r>
            <w:r w:rsidR="005354E8">
              <w:rPr>
                <w:sz w:val="20"/>
                <w:szCs w:val="20"/>
              </w:rPr>
              <w:t>599,59</w:t>
            </w:r>
          </w:p>
        </w:tc>
        <w:tc>
          <w:tcPr>
            <w:tcW w:w="2024" w:type="dxa"/>
          </w:tcPr>
          <w:p w:rsidR="00CF0385" w:rsidRPr="000E1BCB" w:rsidRDefault="006B7B14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2.800.00</w:t>
            </w:r>
            <w:r w:rsidR="005354E8">
              <w:rPr>
                <w:sz w:val="20"/>
                <w:szCs w:val="20"/>
              </w:rPr>
              <w:t>3,38</w:t>
            </w:r>
          </w:p>
        </w:tc>
      </w:tr>
      <w:tr w:rsidR="00CF0385" w:rsidTr="00E83EA2">
        <w:tc>
          <w:tcPr>
            <w:tcW w:w="5949" w:type="dxa"/>
            <w:shd w:val="clear" w:color="auto" w:fill="D0CECE" w:themeFill="background2" w:themeFillShade="E6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Vlastiti izvori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CF0385" w:rsidRPr="00E83EA2" w:rsidRDefault="00E83EA2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83EA2">
              <w:rPr>
                <w:b/>
                <w:bCs/>
                <w:sz w:val="20"/>
                <w:szCs w:val="20"/>
              </w:rPr>
              <w:t>81.054.088</w:t>
            </w:r>
            <w:r w:rsidR="00074F0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:rsidR="00CF0385" w:rsidRPr="00E83EA2" w:rsidRDefault="00E83EA2" w:rsidP="003F237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83EA2">
              <w:rPr>
                <w:b/>
                <w:bCs/>
                <w:sz w:val="20"/>
                <w:szCs w:val="20"/>
              </w:rPr>
              <w:t>88.408.556</w:t>
            </w:r>
            <w:r w:rsidR="005C526D">
              <w:rPr>
                <w:b/>
                <w:bCs/>
                <w:sz w:val="20"/>
                <w:szCs w:val="20"/>
              </w:rPr>
              <w:t>,21</w:t>
            </w:r>
          </w:p>
        </w:tc>
      </w:tr>
      <w:tr w:rsidR="00CF0385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Vlastiti izvori i ispravak vlastitih izvora </w:t>
            </w:r>
          </w:p>
          <w:p w:rsidR="00CF0385" w:rsidRPr="000E1BCB" w:rsidRDefault="00CF0385" w:rsidP="003F23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0385" w:rsidRPr="000E1BCB" w:rsidRDefault="00E83EA2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77.153.058</w:t>
            </w:r>
            <w:r w:rsidR="000B7826">
              <w:rPr>
                <w:sz w:val="20"/>
                <w:szCs w:val="20"/>
              </w:rPr>
              <w:t>,34</w:t>
            </w:r>
          </w:p>
        </w:tc>
        <w:tc>
          <w:tcPr>
            <w:tcW w:w="2024" w:type="dxa"/>
          </w:tcPr>
          <w:p w:rsidR="00CF0385" w:rsidRPr="000E1BCB" w:rsidRDefault="00E83EA2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86.921.20</w:t>
            </w:r>
            <w:r w:rsidR="000B7826">
              <w:rPr>
                <w:sz w:val="20"/>
                <w:szCs w:val="20"/>
              </w:rPr>
              <w:t>0,76</w:t>
            </w:r>
          </w:p>
        </w:tc>
      </w:tr>
      <w:tr w:rsidR="003065B2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Rezultat poslovanja </w:t>
            </w:r>
          </w:p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5B2" w:rsidRPr="000E1BCB" w:rsidRDefault="00227626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87.236</w:t>
            </w:r>
            <w:r w:rsidR="000B7826">
              <w:rPr>
                <w:sz w:val="20"/>
                <w:szCs w:val="20"/>
              </w:rPr>
              <w:t>,35</w:t>
            </w:r>
          </w:p>
        </w:tc>
        <w:tc>
          <w:tcPr>
            <w:tcW w:w="2024" w:type="dxa"/>
          </w:tcPr>
          <w:p w:rsidR="003065B2" w:rsidRPr="000E1BCB" w:rsidRDefault="00227626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-3.002.886</w:t>
            </w:r>
            <w:r w:rsidR="005C526D">
              <w:rPr>
                <w:sz w:val="20"/>
                <w:szCs w:val="20"/>
              </w:rPr>
              <w:t>,27</w:t>
            </w:r>
          </w:p>
        </w:tc>
      </w:tr>
      <w:tr w:rsidR="003065B2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Obračunati prihodi poslovanja </w:t>
            </w:r>
          </w:p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3.793.42</w:t>
            </w:r>
            <w:r w:rsidR="000B7826">
              <w:rPr>
                <w:sz w:val="20"/>
                <w:szCs w:val="20"/>
              </w:rPr>
              <w:t>3,71</w:t>
            </w:r>
          </w:p>
        </w:tc>
        <w:tc>
          <w:tcPr>
            <w:tcW w:w="2024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4.450.006</w:t>
            </w:r>
            <w:r w:rsidR="000B7826">
              <w:rPr>
                <w:sz w:val="20"/>
                <w:szCs w:val="20"/>
              </w:rPr>
              <w:t>,03</w:t>
            </w:r>
          </w:p>
        </w:tc>
      </w:tr>
      <w:tr w:rsidR="003065B2" w:rsidTr="00CF0385">
        <w:tc>
          <w:tcPr>
            <w:tcW w:w="5949" w:type="dxa"/>
          </w:tcPr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Obračunati prihodi od prodaje nefinancijske imovine </w:t>
            </w:r>
          </w:p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20.370</w:t>
            </w:r>
            <w:r w:rsidR="000B7826">
              <w:rPr>
                <w:sz w:val="20"/>
                <w:szCs w:val="20"/>
              </w:rPr>
              <w:t>,00</w:t>
            </w:r>
          </w:p>
        </w:tc>
        <w:tc>
          <w:tcPr>
            <w:tcW w:w="2024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40.235</w:t>
            </w:r>
            <w:r w:rsidR="000B7826">
              <w:rPr>
                <w:sz w:val="20"/>
                <w:szCs w:val="20"/>
              </w:rPr>
              <w:t>,69</w:t>
            </w:r>
          </w:p>
        </w:tc>
      </w:tr>
      <w:tr w:rsidR="003065B2" w:rsidTr="00CF0385">
        <w:tc>
          <w:tcPr>
            <w:tcW w:w="5949" w:type="dxa"/>
          </w:tcPr>
          <w:p w:rsidR="003065B2" w:rsidRPr="000E1BCB" w:rsidRDefault="0000506C" w:rsidP="003065B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Izvanbilančni zapisi</w:t>
            </w:r>
          </w:p>
          <w:p w:rsidR="003065B2" w:rsidRPr="000E1BCB" w:rsidRDefault="003065B2" w:rsidP="003065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0</w:t>
            </w:r>
            <w:r w:rsidR="000B7826">
              <w:rPr>
                <w:sz w:val="20"/>
                <w:szCs w:val="20"/>
              </w:rPr>
              <w:t>,00</w:t>
            </w:r>
          </w:p>
        </w:tc>
        <w:tc>
          <w:tcPr>
            <w:tcW w:w="2024" w:type="dxa"/>
          </w:tcPr>
          <w:p w:rsidR="003065B2" w:rsidRPr="000E1BCB" w:rsidRDefault="000B0297" w:rsidP="003F2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120.62</w:t>
            </w:r>
            <w:r w:rsidR="000B7826">
              <w:rPr>
                <w:sz w:val="20"/>
                <w:szCs w:val="20"/>
              </w:rPr>
              <w:t>2,95</w:t>
            </w:r>
          </w:p>
        </w:tc>
      </w:tr>
    </w:tbl>
    <w:p w:rsidR="003F237D" w:rsidRDefault="003F237D" w:rsidP="003F237D">
      <w:pPr>
        <w:pStyle w:val="Default"/>
        <w:rPr>
          <w:sz w:val="22"/>
          <w:szCs w:val="22"/>
        </w:rPr>
      </w:pPr>
    </w:p>
    <w:p w:rsidR="003F237D" w:rsidRDefault="003F237D" w:rsidP="003F237D">
      <w:pPr>
        <w:pStyle w:val="Default"/>
        <w:rPr>
          <w:sz w:val="22"/>
          <w:szCs w:val="22"/>
        </w:rPr>
      </w:pPr>
    </w:p>
    <w:p w:rsidR="003F237D" w:rsidRDefault="003F237D" w:rsidP="003F237D">
      <w:pPr>
        <w:pStyle w:val="Default"/>
        <w:rPr>
          <w:sz w:val="22"/>
          <w:szCs w:val="22"/>
        </w:rPr>
      </w:pPr>
    </w:p>
    <w:p w:rsidR="003F237D" w:rsidRDefault="003F237D" w:rsidP="003F237D">
      <w:pPr>
        <w:pStyle w:val="Default"/>
        <w:rPr>
          <w:sz w:val="22"/>
          <w:szCs w:val="22"/>
        </w:rPr>
      </w:pPr>
    </w:p>
    <w:p w:rsidR="00415016" w:rsidRDefault="003F237D" w:rsidP="003F23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Nefinancijska imovina </w:t>
      </w:r>
    </w:p>
    <w:p w:rsidR="00415016" w:rsidRDefault="00415016" w:rsidP="003F237D">
      <w:pPr>
        <w:pStyle w:val="Default"/>
        <w:rPr>
          <w:sz w:val="22"/>
          <w:szCs w:val="22"/>
        </w:rPr>
      </w:pPr>
    </w:p>
    <w:p w:rsidR="00415016" w:rsidRDefault="003F237D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Nefinancijska imovina čini </w:t>
      </w:r>
      <w:r w:rsidR="00C86728">
        <w:rPr>
          <w:sz w:val="22"/>
          <w:szCs w:val="22"/>
        </w:rPr>
        <w:t>91</w:t>
      </w:r>
      <w:r>
        <w:rPr>
          <w:sz w:val="22"/>
          <w:szCs w:val="22"/>
        </w:rPr>
        <w:t>,</w:t>
      </w:r>
      <w:r w:rsidR="00C86728">
        <w:rPr>
          <w:sz w:val="22"/>
          <w:szCs w:val="22"/>
        </w:rPr>
        <w:t>71</w:t>
      </w:r>
      <w:r>
        <w:rPr>
          <w:sz w:val="22"/>
          <w:szCs w:val="22"/>
        </w:rPr>
        <w:t xml:space="preserve">% aktive, a </w:t>
      </w:r>
      <w:r w:rsidR="005D41D2">
        <w:rPr>
          <w:sz w:val="22"/>
          <w:szCs w:val="22"/>
        </w:rPr>
        <w:t>43</w:t>
      </w:r>
      <w:r>
        <w:rPr>
          <w:sz w:val="22"/>
          <w:szCs w:val="22"/>
        </w:rPr>
        <w:t>,</w:t>
      </w:r>
      <w:r w:rsidR="005D41D2">
        <w:rPr>
          <w:sz w:val="22"/>
          <w:szCs w:val="22"/>
        </w:rPr>
        <w:t>36</w:t>
      </w:r>
      <w:r>
        <w:rPr>
          <w:sz w:val="22"/>
          <w:szCs w:val="22"/>
        </w:rPr>
        <w:t>% vrijednosti se odnosi na građevinske objekte kao što  poslovni objekti, ceste, javna rasvjeta</w:t>
      </w:r>
      <w:r w:rsidR="005D41D2">
        <w:rPr>
          <w:sz w:val="22"/>
          <w:szCs w:val="22"/>
        </w:rPr>
        <w:t>.</w:t>
      </w:r>
      <w:r>
        <w:rPr>
          <w:sz w:val="22"/>
          <w:szCs w:val="22"/>
        </w:rPr>
        <w:t xml:space="preserve"> U odnosu na 2018. godin</w:t>
      </w:r>
      <w:r w:rsidR="005D41D2">
        <w:rPr>
          <w:sz w:val="22"/>
          <w:szCs w:val="22"/>
        </w:rPr>
        <w:t>u</w:t>
      </w:r>
      <w:r>
        <w:rPr>
          <w:sz w:val="22"/>
          <w:szCs w:val="22"/>
        </w:rPr>
        <w:t xml:space="preserve"> značajnije je povećana vrijednost </w:t>
      </w:r>
      <w:r w:rsidR="001E511D">
        <w:rPr>
          <w:sz w:val="22"/>
          <w:szCs w:val="22"/>
        </w:rPr>
        <w:t>cesta</w:t>
      </w:r>
      <w:r w:rsidR="00700D12">
        <w:rPr>
          <w:sz w:val="22"/>
          <w:szCs w:val="22"/>
        </w:rPr>
        <w:t xml:space="preserve"> </w:t>
      </w:r>
      <w:r w:rsidR="001E511D">
        <w:rPr>
          <w:sz w:val="22"/>
          <w:szCs w:val="22"/>
        </w:rPr>
        <w:t>i ostalih prometnih objekta a posebno je povećana vrijednost ostalih građevinskih objekata.</w:t>
      </w:r>
    </w:p>
    <w:p w:rsidR="00415016" w:rsidRDefault="003F237D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Neproizvedena dugotrajna imovina je veća za </w:t>
      </w:r>
      <w:r w:rsidR="00C86728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C86728">
        <w:rPr>
          <w:sz w:val="22"/>
          <w:szCs w:val="22"/>
        </w:rPr>
        <w:t>043</w:t>
      </w:r>
      <w:r>
        <w:rPr>
          <w:sz w:val="22"/>
          <w:szCs w:val="22"/>
        </w:rPr>
        <w:t>.</w:t>
      </w:r>
      <w:r w:rsidR="00C86728">
        <w:rPr>
          <w:sz w:val="22"/>
          <w:szCs w:val="22"/>
        </w:rPr>
        <w:t>969,05</w:t>
      </w:r>
      <w:r>
        <w:rPr>
          <w:sz w:val="22"/>
          <w:szCs w:val="22"/>
        </w:rPr>
        <w:t xml:space="preserve"> kn najviše zbog povećanja materijalne imovine - prirodnih bogatstava, odnosno zbog </w:t>
      </w:r>
      <w:r w:rsidR="00C86728">
        <w:rPr>
          <w:sz w:val="22"/>
          <w:szCs w:val="22"/>
        </w:rPr>
        <w:t>kupovine zemljišta za cestu iznad hotela Jadran.</w:t>
      </w:r>
      <w:r>
        <w:rPr>
          <w:sz w:val="22"/>
          <w:szCs w:val="22"/>
        </w:rPr>
        <w:t xml:space="preserve"> </w:t>
      </w:r>
    </w:p>
    <w:p w:rsidR="00415016" w:rsidRDefault="003F237D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Proizvedena dugotrajna imovina je </w:t>
      </w:r>
      <w:r w:rsidR="005D41D2">
        <w:rPr>
          <w:sz w:val="22"/>
          <w:szCs w:val="22"/>
        </w:rPr>
        <w:t xml:space="preserve">veća </w:t>
      </w:r>
      <w:r>
        <w:rPr>
          <w:sz w:val="22"/>
          <w:szCs w:val="22"/>
        </w:rPr>
        <w:t xml:space="preserve">za </w:t>
      </w:r>
      <w:r w:rsidR="00700D12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700D12">
        <w:rPr>
          <w:sz w:val="22"/>
          <w:szCs w:val="22"/>
        </w:rPr>
        <w:t>724</w:t>
      </w:r>
      <w:r>
        <w:rPr>
          <w:sz w:val="22"/>
          <w:szCs w:val="22"/>
        </w:rPr>
        <w:t>.</w:t>
      </w:r>
      <w:r w:rsidR="00700D12">
        <w:rPr>
          <w:sz w:val="22"/>
          <w:szCs w:val="22"/>
        </w:rPr>
        <w:t>173</w:t>
      </w:r>
      <w:r w:rsidR="00F17D00">
        <w:rPr>
          <w:sz w:val="22"/>
          <w:szCs w:val="22"/>
        </w:rPr>
        <w:t>,37</w:t>
      </w:r>
      <w:r>
        <w:rPr>
          <w:sz w:val="22"/>
          <w:szCs w:val="22"/>
        </w:rPr>
        <w:t xml:space="preserve"> kn zbog </w:t>
      </w:r>
      <w:r w:rsidR="00700D12">
        <w:rPr>
          <w:sz w:val="22"/>
          <w:szCs w:val="22"/>
        </w:rPr>
        <w:t xml:space="preserve">povećanog ulaganja u izgradnju </w:t>
      </w:r>
      <w:r w:rsidR="00F17D00">
        <w:rPr>
          <w:sz w:val="22"/>
          <w:szCs w:val="22"/>
        </w:rPr>
        <w:t xml:space="preserve">cesta (izgradnja sabirne sjeverne prometnice iznad hotela Jadran) a posebno </w:t>
      </w:r>
      <w:r w:rsidR="00700D12">
        <w:rPr>
          <w:sz w:val="22"/>
          <w:szCs w:val="22"/>
        </w:rPr>
        <w:t>ostalih građevinskih objekata (</w:t>
      </w:r>
      <w:r w:rsidR="00F17D00">
        <w:rPr>
          <w:sz w:val="22"/>
          <w:szCs w:val="22"/>
        </w:rPr>
        <w:t>Uređenje obalnog pojasa od Marine do Gospina potoka</w:t>
      </w:r>
      <w:r w:rsidR="00700D12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:rsidR="00BE057A" w:rsidRDefault="00BE057A" w:rsidP="003F237D">
      <w:pPr>
        <w:pStyle w:val="Default"/>
        <w:rPr>
          <w:sz w:val="22"/>
          <w:szCs w:val="22"/>
        </w:rPr>
      </w:pPr>
    </w:p>
    <w:p w:rsidR="00415016" w:rsidRDefault="00BE057A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Financijska imovina</w:t>
      </w:r>
    </w:p>
    <w:p w:rsidR="00415016" w:rsidRDefault="00415016" w:rsidP="00BE057A">
      <w:pPr>
        <w:pStyle w:val="Default"/>
        <w:rPr>
          <w:sz w:val="22"/>
          <w:szCs w:val="22"/>
        </w:rPr>
      </w:pP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Potraživanja su </w:t>
      </w:r>
      <w:r w:rsidR="005D41D2">
        <w:rPr>
          <w:sz w:val="22"/>
          <w:szCs w:val="22"/>
        </w:rPr>
        <w:t>sa 31.12.</w:t>
      </w:r>
      <w:r>
        <w:rPr>
          <w:sz w:val="22"/>
          <w:szCs w:val="22"/>
        </w:rPr>
        <w:t>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 iskazana u iznosu od </w:t>
      </w:r>
      <w:r w:rsidR="001B2CD5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B2CD5">
        <w:rPr>
          <w:sz w:val="22"/>
          <w:szCs w:val="22"/>
        </w:rPr>
        <w:t>510</w:t>
      </w:r>
      <w:r>
        <w:rPr>
          <w:sz w:val="22"/>
          <w:szCs w:val="22"/>
        </w:rPr>
        <w:t>.</w:t>
      </w:r>
      <w:r w:rsidR="001B2CD5">
        <w:rPr>
          <w:sz w:val="22"/>
          <w:szCs w:val="22"/>
        </w:rPr>
        <w:t>86</w:t>
      </w:r>
      <w:r w:rsidR="00CE1F04">
        <w:rPr>
          <w:sz w:val="22"/>
          <w:szCs w:val="22"/>
        </w:rPr>
        <w:t>0</w:t>
      </w:r>
      <w:r w:rsidR="001B2CD5">
        <w:rPr>
          <w:sz w:val="22"/>
          <w:szCs w:val="22"/>
        </w:rPr>
        <w:t>,74</w:t>
      </w:r>
      <w:r>
        <w:rPr>
          <w:sz w:val="22"/>
          <w:szCs w:val="22"/>
        </w:rPr>
        <w:t xml:space="preserve"> kn, a odnose se na:</w:t>
      </w: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potraživanja za </w:t>
      </w:r>
      <w:r w:rsidR="005D41D2">
        <w:rPr>
          <w:sz w:val="22"/>
          <w:szCs w:val="22"/>
        </w:rPr>
        <w:t>više plaćene poreze i ostalo u i</w:t>
      </w:r>
      <w:r>
        <w:rPr>
          <w:sz w:val="22"/>
          <w:szCs w:val="22"/>
        </w:rPr>
        <w:t xml:space="preserve">znosu od </w:t>
      </w:r>
      <w:r w:rsidR="005D41D2">
        <w:rPr>
          <w:sz w:val="22"/>
          <w:szCs w:val="22"/>
        </w:rPr>
        <w:t>20.619</w:t>
      </w:r>
      <w:r w:rsidR="001B2CD5">
        <w:rPr>
          <w:sz w:val="22"/>
          <w:szCs w:val="22"/>
        </w:rPr>
        <w:t>,02</w:t>
      </w:r>
      <w:r>
        <w:rPr>
          <w:sz w:val="22"/>
          <w:szCs w:val="22"/>
        </w:rPr>
        <w:t xml:space="preserve"> kn; </w:t>
      </w: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potraživanja za prihode poslovanja u iznosu od </w:t>
      </w:r>
      <w:r w:rsidR="005D41D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5D41D2">
        <w:rPr>
          <w:sz w:val="22"/>
          <w:szCs w:val="22"/>
        </w:rPr>
        <w:t>450</w:t>
      </w:r>
      <w:r>
        <w:rPr>
          <w:sz w:val="22"/>
          <w:szCs w:val="22"/>
        </w:rPr>
        <w:t>.</w:t>
      </w:r>
      <w:r w:rsidR="00CE1F04">
        <w:rPr>
          <w:sz w:val="22"/>
          <w:szCs w:val="22"/>
        </w:rPr>
        <w:t>00</w:t>
      </w:r>
      <w:r w:rsidR="005D41D2">
        <w:rPr>
          <w:sz w:val="22"/>
          <w:szCs w:val="22"/>
        </w:rPr>
        <w:t>6</w:t>
      </w:r>
      <w:r w:rsidR="001F2944">
        <w:rPr>
          <w:sz w:val="22"/>
          <w:szCs w:val="22"/>
        </w:rPr>
        <w:t>,03</w:t>
      </w:r>
      <w:r>
        <w:rPr>
          <w:sz w:val="22"/>
          <w:szCs w:val="22"/>
        </w:rPr>
        <w:t xml:space="preserve"> kn; </w:t>
      </w: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potraživanja od prodaje nefinancijske imovine u iznosu od </w:t>
      </w:r>
      <w:r w:rsidR="005D41D2">
        <w:rPr>
          <w:sz w:val="22"/>
          <w:szCs w:val="22"/>
        </w:rPr>
        <w:t>4</w:t>
      </w:r>
      <w:r w:rsidR="00CE1F04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5D41D2">
        <w:rPr>
          <w:sz w:val="22"/>
          <w:szCs w:val="22"/>
        </w:rPr>
        <w:t>235</w:t>
      </w:r>
      <w:r w:rsidR="001F2944">
        <w:rPr>
          <w:sz w:val="22"/>
          <w:szCs w:val="22"/>
        </w:rPr>
        <w:t>,69</w:t>
      </w:r>
      <w:r>
        <w:rPr>
          <w:sz w:val="22"/>
          <w:szCs w:val="22"/>
        </w:rPr>
        <w:t xml:space="preserve"> kn. </w:t>
      </w:r>
    </w:p>
    <w:p w:rsidR="00415016" w:rsidRDefault="00415016" w:rsidP="00415016">
      <w:pPr>
        <w:pStyle w:val="Default"/>
        <w:ind w:firstLine="708"/>
        <w:rPr>
          <w:sz w:val="22"/>
          <w:szCs w:val="22"/>
        </w:rPr>
      </w:pP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Potraživanja za prihode poslovanja su u odnosu na početak godine </w:t>
      </w:r>
      <w:r w:rsidR="001B2CD5">
        <w:rPr>
          <w:sz w:val="22"/>
          <w:szCs w:val="22"/>
        </w:rPr>
        <w:t xml:space="preserve">veća </w:t>
      </w:r>
      <w:r>
        <w:rPr>
          <w:sz w:val="22"/>
          <w:szCs w:val="22"/>
        </w:rPr>
        <w:t xml:space="preserve">za </w:t>
      </w:r>
      <w:r w:rsidR="00BC1B8A">
        <w:rPr>
          <w:sz w:val="22"/>
          <w:szCs w:val="22"/>
        </w:rPr>
        <w:t>656</w:t>
      </w:r>
      <w:r>
        <w:rPr>
          <w:sz w:val="22"/>
          <w:szCs w:val="22"/>
        </w:rPr>
        <w:t>.</w:t>
      </w:r>
      <w:r w:rsidR="00BC1B8A">
        <w:rPr>
          <w:sz w:val="22"/>
          <w:szCs w:val="22"/>
        </w:rPr>
        <w:t>582,32</w:t>
      </w:r>
      <w:r>
        <w:rPr>
          <w:sz w:val="22"/>
          <w:szCs w:val="22"/>
        </w:rPr>
        <w:t xml:space="preserve"> kn što je </w:t>
      </w:r>
      <w:r w:rsidR="00BC1B8A">
        <w:rPr>
          <w:sz w:val="22"/>
          <w:szCs w:val="22"/>
        </w:rPr>
        <w:t xml:space="preserve">posljedica povećanja potraživanja po osnovi naknade za uređenje voda za poslovni prostor i potraživanja za komunalni doprinos kao i činjenica da nije izvršen </w:t>
      </w:r>
      <w:r>
        <w:rPr>
          <w:sz w:val="22"/>
          <w:szCs w:val="22"/>
        </w:rPr>
        <w:t>isprav</w:t>
      </w:r>
      <w:r w:rsidR="00BC1B8A">
        <w:rPr>
          <w:sz w:val="22"/>
          <w:szCs w:val="22"/>
        </w:rPr>
        <w:t>a</w:t>
      </w:r>
      <w:r>
        <w:rPr>
          <w:sz w:val="22"/>
          <w:szCs w:val="22"/>
        </w:rPr>
        <w:t>k vrijednosti</w:t>
      </w:r>
      <w:r w:rsidR="00415016">
        <w:rPr>
          <w:sz w:val="22"/>
          <w:szCs w:val="22"/>
        </w:rPr>
        <w:t xml:space="preserve"> prema</w:t>
      </w:r>
      <w:r w:rsidR="00700D12">
        <w:rPr>
          <w:sz w:val="22"/>
          <w:szCs w:val="22"/>
        </w:rPr>
        <w:t xml:space="preserve"> </w:t>
      </w:r>
      <w:r w:rsidR="00415016">
        <w:rPr>
          <w:sz w:val="22"/>
          <w:szCs w:val="22"/>
        </w:rPr>
        <w:t xml:space="preserve">odredbama Pravilnika o proračunskom računovodstvu i Računskom planu </w:t>
      </w:r>
      <w:r>
        <w:rPr>
          <w:sz w:val="22"/>
          <w:szCs w:val="22"/>
        </w:rPr>
        <w:t xml:space="preserve">(Narodne novine 24/14, 115/15 i 87/16). </w:t>
      </w:r>
    </w:p>
    <w:p w:rsidR="00BE057A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Potraživanja od prodaje nefinancijske imovine su u odnosu na početak godine veća za </w:t>
      </w:r>
      <w:r w:rsidR="000D18F8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0D18F8">
        <w:rPr>
          <w:sz w:val="22"/>
          <w:szCs w:val="22"/>
        </w:rPr>
        <w:t>865,69</w:t>
      </w:r>
      <w:r>
        <w:rPr>
          <w:sz w:val="22"/>
          <w:szCs w:val="22"/>
        </w:rPr>
        <w:t xml:space="preserve"> kn, a odnose se na potraživanja za </w:t>
      </w:r>
      <w:r w:rsidR="000D18F8">
        <w:rPr>
          <w:sz w:val="22"/>
          <w:szCs w:val="22"/>
        </w:rPr>
        <w:t xml:space="preserve">prodaju zemljišta </w:t>
      </w:r>
      <w:r w:rsidR="00BC1B8A">
        <w:rPr>
          <w:sz w:val="22"/>
          <w:szCs w:val="22"/>
        </w:rPr>
        <w:t>po ugovoru iz 2017.godine.</w:t>
      </w: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415016" w:rsidRDefault="00BE057A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Obveze </w:t>
      </w:r>
    </w:p>
    <w:p w:rsidR="00415016" w:rsidRDefault="00415016" w:rsidP="00BE057A">
      <w:pPr>
        <w:pStyle w:val="Default"/>
        <w:rPr>
          <w:sz w:val="22"/>
          <w:szCs w:val="22"/>
        </w:rPr>
      </w:pPr>
    </w:p>
    <w:p w:rsidR="00415016" w:rsidRDefault="00BE057A" w:rsidP="0041501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Obveze su </w:t>
      </w:r>
      <w:r w:rsidR="002F36E7">
        <w:rPr>
          <w:sz w:val="22"/>
          <w:szCs w:val="22"/>
        </w:rPr>
        <w:t>na dan 31.12.</w:t>
      </w:r>
      <w:r>
        <w:rPr>
          <w:sz w:val="22"/>
          <w:szCs w:val="22"/>
        </w:rPr>
        <w:t>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 za </w:t>
      </w:r>
      <w:r w:rsidR="00E6342B">
        <w:rPr>
          <w:sz w:val="22"/>
          <w:szCs w:val="22"/>
        </w:rPr>
        <w:t>1.815.35</w:t>
      </w:r>
      <w:r w:rsidR="00CE1F04">
        <w:rPr>
          <w:sz w:val="22"/>
          <w:szCs w:val="22"/>
        </w:rPr>
        <w:t>0</w:t>
      </w:r>
      <w:r w:rsidR="00E6342B">
        <w:rPr>
          <w:sz w:val="22"/>
          <w:szCs w:val="22"/>
        </w:rPr>
        <w:t>,5</w:t>
      </w:r>
      <w:r w:rsidR="00CE1F04">
        <w:rPr>
          <w:sz w:val="22"/>
          <w:szCs w:val="22"/>
        </w:rPr>
        <w:t>0</w:t>
      </w:r>
      <w:r>
        <w:rPr>
          <w:sz w:val="22"/>
          <w:szCs w:val="22"/>
        </w:rPr>
        <w:t xml:space="preserve"> kn </w:t>
      </w:r>
      <w:r w:rsidR="002F36E7">
        <w:rPr>
          <w:sz w:val="22"/>
          <w:szCs w:val="22"/>
        </w:rPr>
        <w:t xml:space="preserve">veće </w:t>
      </w:r>
      <w:r>
        <w:rPr>
          <w:sz w:val="22"/>
          <w:szCs w:val="22"/>
        </w:rPr>
        <w:t xml:space="preserve">u odnosu na početak godine te iznose </w:t>
      </w:r>
      <w:r w:rsidR="002F36E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2F36E7">
        <w:rPr>
          <w:sz w:val="22"/>
          <w:szCs w:val="22"/>
        </w:rPr>
        <w:t>564.61</w:t>
      </w:r>
      <w:r w:rsidR="00E6342B">
        <w:rPr>
          <w:sz w:val="22"/>
          <w:szCs w:val="22"/>
        </w:rPr>
        <w:t xml:space="preserve">7,54 </w:t>
      </w:r>
      <w:r>
        <w:rPr>
          <w:sz w:val="22"/>
          <w:szCs w:val="22"/>
        </w:rPr>
        <w:t xml:space="preserve">kn, a odnose se na obveze za rashode poslovanja u iznosu od </w:t>
      </w:r>
      <w:r w:rsidR="00FD10D0">
        <w:rPr>
          <w:sz w:val="22"/>
          <w:szCs w:val="22"/>
        </w:rPr>
        <w:t>764.614</w:t>
      </w:r>
      <w:r w:rsidR="009B1147">
        <w:rPr>
          <w:sz w:val="22"/>
          <w:szCs w:val="22"/>
        </w:rPr>
        <w:t>,16</w:t>
      </w:r>
      <w:r>
        <w:rPr>
          <w:sz w:val="22"/>
          <w:szCs w:val="22"/>
        </w:rPr>
        <w:t xml:space="preserve"> kn</w:t>
      </w:r>
      <w:r w:rsidR="00BF2FA1">
        <w:rPr>
          <w:sz w:val="22"/>
          <w:szCs w:val="22"/>
        </w:rPr>
        <w:t xml:space="preserve"> te najvećim dijelom na obv</w:t>
      </w:r>
      <w:r w:rsidR="004E5391">
        <w:rPr>
          <w:sz w:val="22"/>
          <w:szCs w:val="22"/>
        </w:rPr>
        <w:t>e</w:t>
      </w:r>
      <w:r w:rsidR="00BF2FA1">
        <w:rPr>
          <w:sz w:val="22"/>
          <w:szCs w:val="22"/>
        </w:rPr>
        <w:t>ze za</w:t>
      </w:r>
      <w:r>
        <w:rPr>
          <w:sz w:val="22"/>
          <w:szCs w:val="22"/>
        </w:rPr>
        <w:t xml:space="preserve"> nabavu nefinancijske imovine u iznosu od </w:t>
      </w:r>
      <w:r w:rsidR="00BF2FA1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F2FA1">
        <w:rPr>
          <w:sz w:val="22"/>
          <w:szCs w:val="22"/>
        </w:rPr>
        <w:t>8</w:t>
      </w:r>
      <w:r w:rsidR="00CE1F04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CE1F04">
        <w:rPr>
          <w:sz w:val="22"/>
          <w:szCs w:val="22"/>
        </w:rPr>
        <w:t>00</w:t>
      </w:r>
      <w:r w:rsidR="004E5391">
        <w:rPr>
          <w:sz w:val="22"/>
          <w:szCs w:val="22"/>
        </w:rPr>
        <w:t>3,38</w:t>
      </w:r>
      <w:r w:rsidR="009B1147">
        <w:rPr>
          <w:sz w:val="22"/>
          <w:szCs w:val="22"/>
        </w:rPr>
        <w:t>.</w:t>
      </w:r>
      <w:r w:rsidR="00BF2FA1">
        <w:rPr>
          <w:sz w:val="22"/>
          <w:szCs w:val="22"/>
        </w:rPr>
        <w:t xml:space="preserve"> </w:t>
      </w:r>
      <w:r w:rsidR="009B1147">
        <w:rPr>
          <w:sz w:val="22"/>
          <w:szCs w:val="22"/>
        </w:rPr>
        <w:t xml:space="preserve">Na kraju </w:t>
      </w:r>
      <w:r>
        <w:rPr>
          <w:sz w:val="22"/>
          <w:szCs w:val="22"/>
        </w:rPr>
        <w:t>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 dospjele obveze iznose </w:t>
      </w:r>
      <w:r w:rsidR="009B114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B1147">
        <w:rPr>
          <w:sz w:val="22"/>
          <w:szCs w:val="22"/>
        </w:rPr>
        <w:t>461</w:t>
      </w:r>
      <w:r>
        <w:rPr>
          <w:sz w:val="22"/>
          <w:szCs w:val="22"/>
        </w:rPr>
        <w:t>.</w:t>
      </w:r>
      <w:r w:rsidR="009B1147">
        <w:rPr>
          <w:sz w:val="22"/>
          <w:szCs w:val="22"/>
        </w:rPr>
        <w:t>89</w:t>
      </w:r>
      <w:r w:rsidR="00477285">
        <w:rPr>
          <w:sz w:val="22"/>
          <w:szCs w:val="22"/>
        </w:rPr>
        <w:t>0,68</w:t>
      </w:r>
      <w:r>
        <w:rPr>
          <w:sz w:val="22"/>
          <w:szCs w:val="22"/>
        </w:rPr>
        <w:t xml:space="preserve"> kn, a nedospjele u iznosu od </w:t>
      </w:r>
      <w:r w:rsidR="009B1147">
        <w:rPr>
          <w:sz w:val="22"/>
          <w:szCs w:val="22"/>
        </w:rPr>
        <w:t>102</w:t>
      </w:r>
      <w:r>
        <w:rPr>
          <w:sz w:val="22"/>
          <w:szCs w:val="22"/>
        </w:rPr>
        <w:t>.</w:t>
      </w:r>
      <w:r w:rsidR="009B1147">
        <w:rPr>
          <w:sz w:val="22"/>
          <w:szCs w:val="22"/>
        </w:rPr>
        <w:t>72</w:t>
      </w:r>
      <w:r w:rsidR="007E1DE3">
        <w:rPr>
          <w:sz w:val="22"/>
          <w:szCs w:val="22"/>
        </w:rPr>
        <w:t>6,86</w:t>
      </w:r>
      <w:r>
        <w:rPr>
          <w:sz w:val="22"/>
          <w:szCs w:val="22"/>
        </w:rPr>
        <w:t xml:space="preserve"> kn. Nedospjele obveze se odnose na</w:t>
      </w:r>
      <w:r w:rsidR="00477285">
        <w:rPr>
          <w:sz w:val="22"/>
          <w:szCs w:val="22"/>
        </w:rPr>
        <w:t xml:space="preserve"> obveze za zaposlene i ostale tekuće obveze. Od obveza za nefinancijsku imovinu najznačajnije su obveze za izgradnju ceste iznad hotela Jadran (sredstva će po podmirenju tih obveza</w:t>
      </w:r>
      <w:r w:rsidR="00DB08D2">
        <w:rPr>
          <w:sz w:val="22"/>
          <w:szCs w:val="22"/>
        </w:rPr>
        <w:t xml:space="preserve"> uplatiti Agencija za plaćanja u poljoprivredi, ribarstvu i ruralnom razvoju</w:t>
      </w:r>
      <w:r w:rsidR="00477285">
        <w:rPr>
          <w:sz w:val="22"/>
          <w:szCs w:val="22"/>
        </w:rPr>
        <w:t xml:space="preserve">) koja iznose </w:t>
      </w:r>
      <w:r w:rsidR="00D622EA">
        <w:rPr>
          <w:sz w:val="22"/>
          <w:szCs w:val="22"/>
        </w:rPr>
        <w:t>1.383.811,31 kn, i obveze za uređenje obalnog pojasa od Marine do Gospina potoka u iznosu od 852.039,82 kn.</w:t>
      </w:r>
      <w:r w:rsidR="004772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622EA" w:rsidRDefault="00D622EA" w:rsidP="00415016">
      <w:pPr>
        <w:pStyle w:val="Default"/>
        <w:ind w:firstLine="708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Vlastiti izvori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531973" w:rsidRDefault="00BE057A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Prilikom izrade financijskih izvještaja za razdoblje siječanj - prosinac 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>. godine</w:t>
      </w:r>
      <w:r w:rsidR="007B21A7">
        <w:rPr>
          <w:sz w:val="22"/>
          <w:szCs w:val="22"/>
        </w:rPr>
        <w:t xml:space="preserve"> i godišnjeg obračuna proračuna Općine Tučepi </w:t>
      </w:r>
      <w:r>
        <w:rPr>
          <w:sz w:val="22"/>
          <w:szCs w:val="22"/>
        </w:rPr>
        <w:t xml:space="preserve"> utvrđen je na dan 31.12.201</w:t>
      </w:r>
      <w:r w:rsidR="001A522C">
        <w:rPr>
          <w:sz w:val="22"/>
          <w:szCs w:val="22"/>
        </w:rPr>
        <w:t>9</w:t>
      </w:r>
      <w:r>
        <w:rPr>
          <w:sz w:val="22"/>
          <w:szCs w:val="22"/>
        </w:rPr>
        <w:t xml:space="preserve">. godine manjak prihoda i primitaka za pokriće u sljedećem razdoblju </w:t>
      </w:r>
      <w:r w:rsidR="007B21A7">
        <w:rPr>
          <w:sz w:val="22"/>
          <w:szCs w:val="22"/>
        </w:rPr>
        <w:t xml:space="preserve">u </w:t>
      </w:r>
      <w:r>
        <w:rPr>
          <w:sz w:val="22"/>
          <w:szCs w:val="22"/>
        </w:rPr>
        <w:t>iznos</w:t>
      </w:r>
      <w:r w:rsidR="007B21A7">
        <w:rPr>
          <w:sz w:val="22"/>
          <w:szCs w:val="22"/>
        </w:rPr>
        <w:t>u od 3.002.886,27</w:t>
      </w:r>
      <w:r>
        <w:rPr>
          <w:sz w:val="22"/>
          <w:szCs w:val="22"/>
        </w:rPr>
        <w:t xml:space="preserve"> kn. </w:t>
      </w:r>
    </w:p>
    <w:p w:rsidR="009545DD" w:rsidRDefault="00BE057A" w:rsidP="0053197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Obračunati prihodi poslovanja i prihodi od prodaje nefinancijske imovine su</w:t>
      </w:r>
      <w:r w:rsidR="007B21A7">
        <w:rPr>
          <w:sz w:val="22"/>
          <w:szCs w:val="22"/>
        </w:rPr>
        <w:t xml:space="preserve"> povećani </w:t>
      </w:r>
      <w:r>
        <w:rPr>
          <w:sz w:val="22"/>
          <w:szCs w:val="22"/>
        </w:rPr>
        <w:t xml:space="preserve"> u odnosu na 201</w:t>
      </w:r>
      <w:r w:rsidR="007B21A7">
        <w:rPr>
          <w:sz w:val="22"/>
          <w:szCs w:val="22"/>
        </w:rPr>
        <w:t>8</w:t>
      </w:r>
      <w:r>
        <w:rPr>
          <w:sz w:val="22"/>
          <w:szCs w:val="22"/>
        </w:rPr>
        <w:t xml:space="preserve">. godinu ostvareni za </w:t>
      </w:r>
      <w:r w:rsidR="009545DD">
        <w:rPr>
          <w:sz w:val="22"/>
          <w:szCs w:val="22"/>
        </w:rPr>
        <w:t xml:space="preserve">zbog povećanja potraživanja po određenim vrstama prihoda   i zato jer nije izvršen ispravak vrijednosti prema odredbama Pravilnika o proračunskom računovodstvu i Računskom planu (Narodne novine 24/14, 115/15 i 87/16). </w:t>
      </w:r>
    </w:p>
    <w:p w:rsidR="00BE057A" w:rsidRDefault="00BE057A" w:rsidP="0053197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Vrijednost izvan</w:t>
      </w:r>
      <w:r w:rsidR="007B21A7">
        <w:rPr>
          <w:sz w:val="22"/>
          <w:szCs w:val="22"/>
        </w:rPr>
        <w:t xml:space="preserve"> </w:t>
      </w:r>
      <w:r>
        <w:rPr>
          <w:sz w:val="22"/>
          <w:szCs w:val="22"/>
        </w:rPr>
        <w:t>bilančnih zapisa krajem 201</w:t>
      </w:r>
      <w:r w:rsidR="00E32CB4">
        <w:rPr>
          <w:sz w:val="22"/>
          <w:szCs w:val="22"/>
        </w:rPr>
        <w:t>9</w:t>
      </w:r>
      <w:r>
        <w:rPr>
          <w:sz w:val="22"/>
          <w:szCs w:val="22"/>
        </w:rPr>
        <w:t>. godine je iznosila 1</w:t>
      </w:r>
      <w:r w:rsidR="00E32CB4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E32CB4">
        <w:rPr>
          <w:sz w:val="22"/>
          <w:szCs w:val="22"/>
        </w:rPr>
        <w:t>622,95</w:t>
      </w:r>
      <w:r>
        <w:rPr>
          <w:sz w:val="22"/>
          <w:szCs w:val="22"/>
        </w:rPr>
        <w:t xml:space="preserve"> kn, a odnosi se na potencijalne obveze po osnovi sudskih sporova</w:t>
      </w:r>
      <w:r w:rsidR="00E32C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531973" w:rsidRDefault="00BE057A" w:rsidP="00BE05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Izvještaj o prihodima i primicima</w:t>
      </w:r>
    </w:p>
    <w:p w:rsidR="00531973" w:rsidRDefault="00531973" w:rsidP="00BE057A">
      <w:pPr>
        <w:pStyle w:val="Default"/>
        <w:rPr>
          <w:b/>
          <w:bCs/>
          <w:sz w:val="22"/>
          <w:szCs w:val="22"/>
        </w:rPr>
      </w:pPr>
    </w:p>
    <w:p w:rsidR="00531973" w:rsidRDefault="00BE057A" w:rsidP="00531973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Ukupni prihodi i primici su u 201</w:t>
      </w:r>
      <w:r w:rsidR="00495BD3">
        <w:rPr>
          <w:sz w:val="22"/>
          <w:szCs w:val="22"/>
        </w:rPr>
        <w:t>9</w:t>
      </w:r>
      <w:r>
        <w:rPr>
          <w:sz w:val="22"/>
          <w:szCs w:val="22"/>
        </w:rPr>
        <w:t>. godini ostvareni u ukupnom iznosu od 1</w:t>
      </w:r>
      <w:r w:rsidR="009951CA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9951CA">
        <w:rPr>
          <w:sz w:val="22"/>
          <w:szCs w:val="22"/>
        </w:rPr>
        <w:t>82</w:t>
      </w:r>
      <w:r>
        <w:rPr>
          <w:sz w:val="22"/>
          <w:szCs w:val="22"/>
        </w:rPr>
        <w:t>.</w:t>
      </w:r>
      <w:r w:rsidR="009951CA">
        <w:rPr>
          <w:sz w:val="22"/>
          <w:szCs w:val="22"/>
        </w:rPr>
        <w:t>902,50</w:t>
      </w:r>
      <w:r>
        <w:rPr>
          <w:sz w:val="22"/>
          <w:szCs w:val="22"/>
        </w:rPr>
        <w:t xml:space="preserve"> kn, što je za 3.</w:t>
      </w:r>
      <w:r w:rsidR="009951CA">
        <w:rPr>
          <w:sz w:val="22"/>
          <w:szCs w:val="22"/>
        </w:rPr>
        <w:t>118</w:t>
      </w:r>
      <w:r>
        <w:rPr>
          <w:sz w:val="22"/>
          <w:szCs w:val="22"/>
        </w:rPr>
        <w:t>.</w:t>
      </w:r>
      <w:r w:rsidR="009951CA">
        <w:rPr>
          <w:sz w:val="22"/>
          <w:szCs w:val="22"/>
        </w:rPr>
        <w:t>9</w:t>
      </w:r>
      <w:r>
        <w:rPr>
          <w:sz w:val="22"/>
          <w:szCs w:val="22"/>
        </w:rPr>
        <w:t>3</w:t>
      </w:r>
      <w:r w:rsidR="009951CA">
        <w:rPr>
          <w:sz w:val="22"/>
          <w:szCs w:val="22"/>
        </w:rPr>
        <w:t>1,71</w:t>
      </w:r>
      <w:r>
        <w:rPr>
          <w:sz w:val="22"/>
          <w:szCs w:val="22"/>
        </w:rPr>
        <w:t xml:space="preserve"> kn više u odnosu na isto razdoblje 201</w:t>
      </w:r>
      <w:r w:rsidR="00495BD3">
        <w:rPr>
          <w:sz w:val="22"/>
          <w:szCs w:val="22"/>
        </w:rPr>
        <w:t>8</w:t>
      </w:r>
      <w:r>
        <w:rPr>
          <w:sz w:val="22"/>
          <w:szCs w:val="22"/>
        </w:rPr>
        <w:t xml:space="preserve">. godine. </w:t>
      </w:r>
    </w:p>
    <w:p w:rsidR="00531973" w:rsidRDefault="00531973" w:rsidP="00531973">
      <w:pPr>
        <w:pStyle w:val="Default"/>
        <w:ind w:firstLine="708"/>
        <w:rPr>
          <w:sz w:val="22"/>
          <w:szCs w:val="22"/>
        </w:rPr>
      </w:pPr>
    </w:p>
    <w:p w:rsidR="00BE057A" w:rsidRDefault="00BE057A" w:rsidP="0053197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U tablici u nastavku se daju podaci o ostvarenim prihodima i primicima u 201</w:t>
      </w:r>
      <w:r w:rsidR="001F61B9">
        <w:rPr>
          <w:sz w:val="22"/>
          <w:szCs w:val="22"/>
        </w:rPr>
        <w:t>8</w:t>
      </w:r>
      <w:r>
        <w:rPr>
          <w:sz w:val="22"/>
          <w:szCs w:val="22"/>
        </w:rPr>
        <w:t>. i 201</w:t>
      </w:r>
      <w:r w:rsidR="001F61B9">
        <w:rPr>
          <w:sz w:val="22"/>
          <w:szCs w:val="22"/>
        </w:rPr>
        <w:t>9</w:t>
      </w:r>
      <w:r>
        <w:rPr>
          <w:sz w:val="22"/>
          <w:szCs w:val="22"/>
        </w:rPr>
        <w:t xml:space="preserve">. godini.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2449"/>
      </w:tblGrid>
      <w:tr w:rsidR="00F7472C" w:rsidTr="001F61B9">
        <w:tc>
          <w:tcPr>
            <w:tcW w:w="5098" w:type="dxa"/>
            <w:shd w:val="clear" w:color="auto" w:fill="7F7F7F" w:themeFill="text1" w:themeFillTint="80"/>
          </w:tcPr>
          <w:p w:rsidR="00BB08D0" w:rsidRPr="000E1BCB" w:rsidRDefault="00BB08D0" w:rsidP="00BB08D0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Opis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BB08D0" w:rsidRPr="000E1BCB" w:rsidRDefault="00BB08D0" w:rsidP="00BB08D0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Ostvarenje 2018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7F7F7F" w:themeFill="text1" w:themeFillTint="80"/>
          </w:tcPr>
          <w:p w:rsidR="00BB08D0" w:rsidRPr="000E1BCB" w:rsidRDefault="00BB08D0" w:rsidP="00BB08D0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Ostvarenje 2019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</w:tr>
      <w:tr w:rsidR="00F7472C" w:rsidTr="001F61B9">
        <w:tc>
          <w:tcPr>
            <w:tcW w:w="5098" w:type="dxa"/>
            <w:shd w:val="clear" w:color="auto" w:fill="AEAAAA" w:themeFill="background2" w:themeFillShade="BF"/>
          </w:tcPr>
          <w:p w:rsidR="002D1DB5" w:rsidRPr="000E1BCB" w:rsidRDefault="002D1DB5" w:rsidP="002D1DB5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SVEUKUPNO 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F7472C" w:rsidRPr="00C62E96" w:rsidRDefault="00873CEF" w:rsidP="00BE057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62E96">
              <w:rPr>
                <w:b/>
                <w:bCs/>
                <w:sz w:val="20"/>
                <w:szCs w:val="20"/>
              </w:rPr>
              <w:t>14.963.97</w:t>
            </w:r>
            <w:r w:rsidR="00FC69A1" w:rsidRPr="00C62E96">
              <w:rPr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2449" w:type="dxa"/>
            <w:shd w:val="clear" w:color="auto" w:fill="AEAAAA" w:themeFill="background2" w:themeFillShade="BF"/>
          </w:tcPr>
          <w:p w:rsidR="00F7472C" w:rsidRPr="00C62E96" w:rsidRDefault="00873CEF" w:rsidP="00BE057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62E96">
              <w:rPr>
                <w:b/>
                <w:bCs/>
                <w:sz w:val="20"/>
                <w:szCs w:val="20"/>
              </w:rPr>
              <w:t>18.082.902</w:t>
            </w:r>
            <w:r w:rsidR="00E27654" w:rsidRPr="00C62E96">
              <w:rPr>
                <w:b/>
                <w:bCs/>
                <w:sz w:val="20"/>
                <w:szCs w:val="20"/>
              </w:rPr>
              <w:t>,50</w:t>
            </w:r>
          </w:p>
        </w:tc>
      </w:tr>
      <w:tr w:rsidR="00F7472C" w:rsidTr="001F61B9">
        <w:trPr>
          <w:trHeight w:val="272"/>
        </w:trPr>
        <w:tc>
          <w:tcPr>
            <w:tcW w:w="5098" w:type="dxa"/>
            <w:shd w:val="clear" w:color="auto" w:fill="E7E6E6" w:themeFill="background2"/>
          </w:tcPr>
          <w:p w:rsidR="00394EDA" w:rsidRPr="000E1BCB" w:rsidRDefault="00394EDA" w:rsidP="00394EDA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poslovanja 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F7472C" w:rsidRPr="00C62E96" w:rsidRDefault="006A5725" w:rsidP="00BE057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62E96">
              <w:rPr>
                <w:b/>
                <w:bCs/>
                <w:sz w:val="20"/>
                <w:szCs w:val="20"/>
              </w:rPr>
              <w:t>14.943.60</w:t>
            </w:r>
            <w:r w:rsidR="00FC69A1" w:rsidRPr="00C62E96">
              <w:rPr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2449" w:type="dxa"/>
            <w:shd w:val="clear" w:color="auto" w:fill="E7E6E6" w:themeFill="background2"/>
          </w:tcPr>
          <w:p w:rsidR="00F7472C" w:rsidRPr="00C62E96" w:rsidRDefault="006A5725" w:rsidP="00BE057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62E96">
              <w:rPr>
                <w:b/>
                <w:bCs/>
                <w:sz w:val="20"/>
                <w:szCs w:val="20"/>
              </w:rPr>
              <w:t>16.009.191</w:t>
            </w:r>
            <w:r w:rsidR="00E27654" w:rsidRPr="00C62E96">
              <w:rPr>
                <w:b/>
                <w:bCs/>
                <w:sz w:val="20"/>
                <w:szCs w:val="20"/>
              </w:rPr>
              <w:t>,39</w:t>
            </w:r>
          </w:p>
        </w:tc>
      </w:tr>
      <w:tr w:rsidR="00F747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poreza </w:t>
            </w:r>
          </w:p>
          <w:p w:rsidR="00F7472C" w:rsidRPr="000E1BCB" w:rsidRDefault="00F7472C" w:rsidP="00BE0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472C" w:rsidRPr="000E1BCB" w:rsidRDefault="006A5725" w:rsidP="00BE05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6.493.73</w:t>
            </w:r>
            <w:r w:rsidR="00FC69A1">
              <w:rPr>
                <w:sz w:val="20"/>
                <w:szCs w:val="20"/>
              </w:rPr>
              <w:t>4,49</w:t>
            </w:r>
          </w:p>
        </w:tc>
        <w:tc>
          <w:tcPr>
            <w:tcW w:w="2449" w:type="dxa"/>
          </w:tcPr>
          <w:p w:rsidR="00F7472C" w:rsidRPr="000E1BCB" w:rsidRDefault="006A5725" w:rsidP="00BE05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6.614.255</w:t>
            </w:r>
            <w:r w:rsidR="00C16CC5">
              <w:rPr>
                <w:sz w:val="20"/>
                <w:szCs w:val="20"/>
              </w:rPr>
              <w:t>,22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Pomoći iz inozemstva i od subjekata unutar općeg proračuna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2.496.06</w:t>
            </w:r>
            <w:r w:rsidR="00FC69A1">
              <w:rPr>
                <w:sz w:val="20"/>
                <w:szCs w:val="20"/>
              </w:rPr>
              <w:t>1,60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3.367.800</w:t>
            </w:r>
            <w:r w:rsidR="00C16CC5">
              <w:rPr>
                <w:sz w:val="20"/>
                <w:szCs w:val="20"/>
              </w:rPr>
              <w:t>,00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imovine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DD3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426.796</w:t>
            </w:r>
            <w:r w:rsidR="00FC69A1">
              <w:rPr>
                <w:sz w:val="20"/>
                <w:szCs w:val="20"/>
              </w:rPr>
              <w:t>,21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435.77</w:t>
            </w:r>
            <w:r w:rsidR="00C16CC5">
              <w:rPr>
                <w:sz w:val="20"/>
                <w:szCs w:val="20"/>
              </w:rPr>
              <w:t>8,70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upravnih i administrativnih pristojbi, pristojbi po posebnim propisima i naknada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D3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5.478.108</w:t>
            </w:r>
            <w:r w:rsidR="00FC69A1">
              <w:rPr>
                <w:sz w:val="20"/>
                <w:szCs w:val="20"/>
              </w:rPr>
              <w:t>,49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5.506.907</w:t>
            </w:r>
            <w:r w:rsidR="00C16CC5">
              <w:rPr>
                <w:sz w:val="20"/>
                <w:szCs w:val="20"/>
              </w:rPr>
              <w:t>,47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prodaje proizvoda i robe te pruženih usluga i prihodi od donacija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C6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8.000</w:t>
            </w:r>
            <w:r w:rsidR="00FC69A1">
              <w:rPr>
                <w:sz w:val="20"/>
                <w:szCs w:val="20"/>
              </w:rPr>
              <w:t>,00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D3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8.000</w:t>
            </w:r>
            <w:r w:rsidR="00E27654">
              <w:rPr>
                <w:sz w:val="20"/>
                <w:szCs w:val="20"/>
              </w:rPr>
              <w:t>,00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Kazne, upravne mjere i ostali prihodi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C6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40.900</w:t>
            </w:r>
            <w:r w:rsidR="00FC69A1">
              <w:rPr>
                <w:sz w:val="20"/>
                <w:szCs w:val="20"/>
              </w:rPr>
              <w:t>,00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D3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76.450</w:t>
            </w:r>
            <w:r w:rsidR="00E27654">
              <w:rPr>
                <w:sz w:val="20"/>
                <w:szCs w:val="20"/>
              </w:rPr>
              <w:t>,00</w:t>
            </w:r>
          </w:p>
        </w:tc>
      </w:tr>
      <w:tr w:rsidR="001A522C" w:rsidTr="001F61B9">
        <w:tc>
          <w:tcPr>
            <w:tcW w:w="5098" w:type="dxa"/>
            <w:shd w:val="clear" w:color="auto" w:fill="E7E6E6" w:themeFill="background2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prodaje nefinancijske imovine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1A522C" w:rsidRPr="00C62E96" w:rsidRDefault="006A5725" w:rsidP="001A52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C6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C62E96">
              <w:rPr>
                <w:b/>
                <w:bCs/>
                <w:sz w:val="20"/>
                <w:szCs w:val="20"/>
              </w:rPr>
              <w:t>20.370</w:t>
            </w:r>
            <w:r w:rsidR="00FC69A1" w:rsidRPr="00C62E9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49" w:type="dxa"/>
            <w:shd w:val="clear" w:color="auto" w:fill="E7E6E6" w:themeFill="background2"/>
          </w:tcPr>
          <w:p w:rsidR="001A522C" w:rsidRPr="00C62E96" w:rsidRDefault="006A5725" w:rsidP="001A52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62E96">
              <w:rPr>
                <w:b/>
                <w:bCs/>
                <w:sz w:val="20"/>
                <w:szCs w:val="20"/>
              </w:rPr>
              <w:t>2.073.711</w:t>
            </w:r>
            <w:r w:rsidR="00E27654" w:rsidRPr="00C62E96">
              <w:rPr>
                <w:b/>
                <w:bCs/>
                <w:sz w:val="20"/>
                <w:szCs w:val="20"/>
              </w:rPr>
              <w:t>,11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Prihodi od prodaje neproizvedene imovine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C6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20.370</w:t>
            </w:r>
            <w:r w:rsidR="00FC69A1">
              <w:rPr>
                <w:sz w:val="20"/>
                <w:szCs w:val="20"/>
              </w:rPr>
              <w:t>,00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2.073.711</w:t>
            </w:r>
            <w:r w:rsidR="00E27654">
              <w:rPr>
                <w:sz w:val="20"/>
                <w:szCs w:val="20"/>
              </w:rPr>
              <w:t>,11</w:t>
            </w:r>
          </w:p>
        </w:tc>
      </w:tr>
      <w:tr w:rsidR="001A522C" w:rsidTr="001F61B9">
        <w:tc>
          <w:tcPr>
            <w:tcW w:w="5098" w:type="dxa"/>
            <w:shd w:val="clear" w:color="auto" w:fill="E7E6E6" w:themeFill="background2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Primici od financijske imovine i zaduživanja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1A522C" w:rsidRPr="00C62E96" w:rsidRDefault="006A5725" w:rsidP="001A52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FC69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C62E9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49" w:type="dxa"/>
            <w:shd w:val="clear" w:color="auto" w:fill="E7E6E6" w:themeFill="background2"/>
          </w:tcPr>
          <w:p w:rsidR="001A522C" w:rsidRPr="00C62E96" w:rsidRDefault="006A5725" w:rsidP="001A522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C62E9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A522C" w:rsidTr="00926EA5"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Primljeni povrati glavnica danih zajmova i depozita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FC69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0,00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0,00</w:t>
            </w:r>
          </w:p>
        </w:tc>
      </w:tr>
      <w:tr w:rsidR="001A522C" w:rsidTr="001A522C">
        <w:trPr>
          <w:trHeight w:val="426"/>
        </w:trPr>
        <w:tc>
          <w:tcPr>
            <w:tcW w:w="5098" w:type="dxa"/>
          </w:tcPr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Primici od zaduživanja </w:t>
            </w:r>
          </w:p>
          <w:p w:rsidR="001A522C" w:rsidRPr="000E1BCB" w:rsidRDefault="001A522C" w:rsidP="001A52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FC69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2449" w:type="dxa"/>
          </w:tcPr>
          <w:p w:rsidR="001A522C" w:rsidRPr="000E1BCB" w:rsidRDefault="006A5725" w:rsidP="001A5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0,00</w:t>
            </w:r>
          </w:p>
        </w:tc>
      </w:tr>
    </w:tbl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551B48" w:rsidRDefault="00BE057A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Vrijednosno značajniji udjel imaju prihodi od poreza </w:t>
      </w:r>
      <w:r w:rsidR="00C81874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C81874">
        <w:rPr>
          <w:sz w:val="22"/>
          <w:szCs w:val="22"/>
        </w:rPr>
        <w:t>58</w:t>
      </w:r>
      <w:r>
        <w:rPr>
          <w:sz w:val="22"/>
          <w:szCs w:val="22"/>
        </w:rPr>
        <w:t xml:space="preserve"> %, prihodi od upravnih i administrativnih pristojbi, pristojbi po posebnim propisima </w:t>
      </w:r>
      <w:r w:rsidR="001B5BB2">
        <w:rPr>
          <w:sz w:val="22"/>
          <w:szCs w:val="22"/>
        </w:rPr>
        <w:t>3</w:t>
      </w:r>
      <w:r w:rsidR="00C81874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1B5BB2">
        <w:rPr>
          <w:sz w:val="22"/>
          <w:szCs w:val="22"/>
        </w:rPr>
        <w:t>4</w:t>
      </w:r>
      <w:r w:rsidR="00C81874">
        <w:rPr>
          <w:sz w:val="22"/>
          <w:szCs w:val="22"/>
        </w:rPr>
        <w:t>5</w:t>
      </w:r>
      <w:r>
        <w:rPr>
          <w:sz w:val="22"/>
          <w:szCs w:val="22"/>
        </w:rPr>
        <w:t xml:space="preserve"> %</w:t>
      </w:r>
      <w:r w:rsidR="001B5BB2">
        <w:rPr>
          <w:sz w:val="22"/>
          <w:szCs w:val="22"/>
        </w:rPr>
        <w:t>,</w:t>
      </w:r>
      <w:r>
        <w:rPr>
          <w:sz w:val="22"/>
          <w:szCs w:val="22"/>
        </w:rPr>
        <w:t xml:space="preserve"> prihodi od pomoći iz inozemstva i od subjekata unutar općeg proračuna </w:t>
      </w:r>
      <w:r w:rsidR="001B5BB2">
        <w:rPr>
          <w:sz w:val="22"/>
          <w:szCs w:val="22"/>
        </w:rPr>
        <w:t>21</w:t>
      </w:r>
      <w:r>
        <w:rPr>
          <w:sz w:val="22"/>
          <w:szCs w:val="22"/>
        </w:rPr>
        <w:t>,</w:t>
      </w:r>
      <w:r w:rsidR="001B5BB2">
        <w:rPr>
          <w:sz w:val="22"/>
          <w:szCs w:val="22"/>
        </w:rPr>
        <w:t>03</w:t>
      </w:r>
      <w:r>
        <w:rPr>
          <w:sz w:val="22"/>
          <w:szCs w:val="22"/>
        </w:rPr>
        <w:t xml:space="preserve"> %</w:t>
      </w:r>
      <w:r w:rsidR="001B5BB2">
        <w:rPr>
          <w:sz w:val="22"/>
          <w:szCs w:val="22"/>
        </w:rPr>
        <w:t xml:space="preserve"> i prihodi od prodaje nefinancijske imovine koji čine </w:t>
      </w:r>
      <w:r w:rsidR="00C81874">
        <w:rPr>
          <w:sz w:val="22"/>
          <w:szCs w:val="22"/>
        </w:rPr>
        <w:t xml:space="preserve">11,46 </w:t>
      </w:r>
      <w:r w:rsidR="001B5BB2">
        <w:rPr>
          <w:sz w:val="22"/>
          <w:szCs w:val="22"/>
        </w:rPr>
        <w:t>% od</w:t>
      </w:r>
      <w:r>
        <w:rPr>
          <w:sz w:val="22"/>
          <w:szCs w:val="22"/>
        </w:rPr>
        <w:t xml:space="preserve"> ukupnih prihoda i primitaka. Svi drugi prihodi i primici (od imovine, prodaje proizvoda i robe i pruženih usluga i prihodi od donacija, kazni,) čine </w:t>
      </w:r>
      <w:r w:rsidR="00C81874">
        <w:rPr>
          <w:sz w:val="22"/>
          <w:szCs w:val="22"/>
        </w:rPr>
        <w:t>samo 0,48</w:t>
      </w:r>
      <w:r>
        <w:rPr>
          <w:sz w:val="22"/>
          <w:szCs w:val="22"/>
        </w:rPr>
        <w:t xml:space="preserve"> % ukupnih prihoda i primitaka. </w:t>
      </w:r>
    </w:p>
    <w:p w:rsidR="00551B48" w:rsidRDefault="00551B48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Prihodi od poreza </w:t>
      </w:r>
      <w:r>
        <w:rPr>
          <w:sz w:val="22"/>
          <w:szCs w:val="22"/>
        </w:rPr>
        <w:t xml:space="preserve">– u odnosu na prethodnu godinu u povećani su prihodi od poreza za </w:t>
      </w:r>
      <w:r w:rsidR="00331532">
        <w:rPr>
          <w:sz w:val="22"/>
          <w:szCs w:val="22"/>
        </w:rPr>
        <w:t>12</w:t>
      </w:r>
      <w:r w:rsidR="00D8192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331532">
        <w:rPr>
          <w:sz w:val="22"/>
          <w:szCs w:val="22"/>
        </w:rPr>
        <w:t>520,73</w:t>
      </w:r>
      <w:r>
        <w:rPr>
          <w:sz w:val="22"/>
          <w:szCs w:val="22"/>
        </w:rPr>
        <w:t xml:space="preserve"> kn, najvećim dijelom zbog promjene propisa kojima je uređeno financiranje jedinica lokalne i područne (regionalne) samouprave. Najznačajnija povećanja u odnosu na 201</w:t>
      </w:r>
      <w:r w:rsidR="00331532">
        <w:rPr>
          <w:sz w:val="22"/>
          <w:szCs w:val="22"/>
        </w:rPr>
        <w:t>8</w:t>
      </w:r>
      <w:r>
        <w:rPr>
          <w:sz w:val="22"/>
          <w:szCs w:val="22"/>
        </w:rPr>
        <w:t xml:space="preserve">. godinu u ovoj skupini prihoda bilježe prihodi od poreza i prireza na dohodak i to za </w:t>
      </w:r>
      <w:r w:rsidR="00331532">
        <w:rPr>
          <w:sz w:val="22"/>
          <w:szCs w:val="22"/>
        </w:rPr>
        <w:t>433</w:t>
      </w:r>
      <w:r>
        <w:rPr>
          <w:sz w:val="22"/>
          <w:szCs w:val="22"/>
        </w:rPr>
        <w:t>.</w:t>
      </w:r>
      <w:r w:rsidR="00331532">
        <w:rPr>
          <w:sz w:val="22"/>
          <w:szCs w:val="22"/>
        </w:rPr>
        <w:t>114,62</w:t>
      </w:r>
      <w:r>
        <w:rPr>
          <w:sz w:val="22"/>
          <w:szCs w:val="22"/>
        </w:rPr>
        <w:t xml:space="preserve"> kn</w:t>
      </w:r>
      <w:r w:rsidR="00331532">
        <w:rPr>
          <w:sz w:val="22"/>
          <w:szCs w:val="22"/>
        </w:rPr>
        <w:t>, dok je istovremeno došlo do znatnog smanjenja prihoda od poreza na imovinu (porez na promet nekretnina).</w:t>
      </w: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Prihodi od pomoći iz inozemstva i od subjekata unutar općeg proračuna </w:t>
      </w:r>
      <w:r>
        <w:rPr>
          <w:sz w:val="22"/>
          <w:szCs w:val="22"/>
        </w:rPr>
        <w:t xml:space="preserve">- ukupno su ostvareni </w:t>
      </w:r>
      <w:r w:rsidR="00B24709">
        <w:rPr>
          <w:sz w:val="22"/>
          <w:szCs w:val="22"/>
        </w:rPr>
        <w:t xml:space="preserve">u iznosu </w:t>
      </w:r>
      <w:r w:rsidR="00CF7A1C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CF7A1C">
        <w:rPr>
          <w:sz w:val="22"/>
          <w:szCs w:val="22"/>
        </w:rPr>
        <w:t>367</w:t>
      </w:r>
      <w:r>
        <w:rPr>
          <w:sz w:val="22"/>
          <w:szCs w:val="22"/>
        </w:rPr>
        <w:t>.</w:t>
      </w:r>
      <w:r w:rsidR="00CF7A1C">
        <w:rPr>
          <w:sz w:val="22"/>
          <w:szCs w:val="22"/>
        </w:rPr>
        <w:t>8</w:t>
      </w:r>
      <w:r w:rsidR="00D81925">
        <w:rPr>
          <w:sz w:val="22"/>
          <w:szCs w:val="22"/>
        </w:rPr>
        <w:t>00</w:t>
      </w:r>
      <w:r w:rsidR="00B24709">
        <w:rPr>
          <w:sz w:val="22"/>
          <w:szCs w:val="22"/>
        </w:rPr>
        <w:t>,00</w:t>
      </w:r>
      <w:r>
        <w:rPr>
          <w:sz w:val="22"/>
          <w:szCs w:val="22"/>
        </w:rPr>
        <w:t xml:space="preserve"> kn </w:t>
      </w:r>
      <w:r w:rsidR="00CF7A1C">
        <w:rPr>
          <w:sz w:val="22"/>
          <w:szCs w:val="22"/>
        </w:rPr>
        <w:t xml:space="preserve">i veći su za 871.738,40 kn u odnosu </w:t>
      </w:r>
      <w:r>
        <w:rPr>
          <w:sz w:val="22"/>
          <w:szCs w:val="22"/>
        </w:rPr>
        <w:t>na 201</w:t>
      </w:r>
      <w:r w:rsidR="00CF7A1C">
        <w:rPr>
          <w:sz w:val="22"/>
          <w:szCs w:val="22"/>
        </w:rPr>
        <w:t>8.</w:t>
      </w:r>
      <w:r>
        <w:rPr>
          <w:sz w:val="22"/>
          <w:szCs w:val="22"/>
        </w:rPr>
        <w:t xml:space="preserve"> godinu</w:t>
      </w:r>
      <w:r w:rsidR="00CF7A1C">
        <w:rPr>
          <w:sz w:val="22"/>
          <w:szCs w:val="22"/>
        </w:rPr>
        <w:t>. Od toga iznosa 47.800,00 kn se odnosi na tekuće pomoći iz proračuna (3.800,00 kuna od Splitsko-dalmatinske županije za sufinanciranje ogrjeva</w:t>
      </w:r>
      <w:r w:rsidR="006E0677">
        <w:rPr>
          <w:sz w:val="22"/>
          <w:szCs w:val="22"/>
        </w:rPr>
        <w:t xml:space="preserve"> i 15.</w:t>
      </w:r>
      <w:r w:rsidR="00BC4829">
        <w:rPr>
          <w:sz w:val="22"/>
          <w:szCs w:val="22"/>
        </w:rPr>
        <w:t>0</w:t>
      </w:r>
      <w:r w:rsidR="006E0677">
        <w:rPr>
          <w:sz w:val="22"/>
          <w:szCs w:val="22"/>
        </w:rPr>
        <w:t xml:space="preserve">00,00 kuna za unapređenje standarda predškolskog odgoja </w:t>
      </w:r>
      <w:r w:rsidR="00CF7A1C">
        <w:rPr>
          <w:sz w:val="22"/>
          <w:szCs w:val="22"/>
        </w:rPr>
        <w:t xml:space="preserve">i </w:t>
      </w:r>
      <w:r w:rsidR="006E0677">
        <w:rPr>
          <w:sz w:val="22"/>
          <w:szCs w:val="22"/>
        </w:rPr>
        <w:t>29</w:t>
      </w:r>
      <w:r w:rsidR="00CF7A1C">
        <w:rPr>
          <w:sz w:val="22"/>
          <w:szCs w:val="22"/>
        </w:rPr>
        <w:t xml:space="preserve">.000,00 kuna od Ministarstva kulture za sufinanciranje kKuTz 2018 i 2019.godine), a 3.320.000,00 kn na kapitalne pomoći iz proračuna. Kapitalne pomoći su ostvarene od strane Splitsko-dalmatinske županije u iznosu od 3.000.000,00 kn  (za projekt uređenja obalnog pojasa od Marine do Gospina potoka) i 320.000,00 kuna od </w:t>
      </w:r>
      <w:r w:rsidR="00B24709">
        <w:rPr>
          <w:sz w:val="22"/>
          <w:szCs w:val="22"/>
        </w:rPr>
        <w:t>M</w:t>
      </w:r>
      <w:r w:rsidR="00CF7A1C">
        <w:rPr>
          <w:sz w:val="22"/>
          <w:szCs w:val="22"/>
        </w:rPr>
        <w:t xml:space="preserve">inistarstva </w:t>
      </w:r>
      <w:r w:rsidR="00DE5234">
        <w:rPr>
          <w:sz w:val="22"/>
          <w:szCs w:val="22"/>
        </w:rPr>
        <w:t>turizma za projekt uređenja obalnog pojasa od Marine do Gospina potoka.</w:t>
      </w:r>
      <w:r w:rsidR="00CF7A1C">
        <w:rPr>
          <w:sz w:val="22"/>
          <w:szCs w:val="22"/>
        </w:rPr>
        <w:t xml:space="preserve"> </w:t>
      </w:r>
    </w:p>
    <w:p w:rsidR="00CF7A1C" w:rsidRDefault="00CF7A1C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Prihodi od imovine </w:t>
      </w:r>
      <w:r w:rsidR="007B673A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7B673A">
        <w:rPr>
          <w:sz w:val="22"/>
          <w:szCs w:val="22"/>
        </w:rPr>
        <w:t>ostvareni su ukupnom iznosu od 435.778,70 kn i nešto su veći u odnosu na 2018.godini. Na njih</w:t>
      </w:r>
      <w:r w:rsidR="009F6486">
        <w:rPr>
          <w:sz w:val="22"/>
          <w:szCs w:val="22"/>
        </w:rPr>
        <w:t>o</w:t>
      </w:r>
      <w:r w:rsidR="007B673A">
        <w:rPr>
          <w:sz w:val="22"/>
          <w:szCs w:val="22"/>
        </w:rPr>
        <w:t xml:space="preserve">vo povećanje najviše je utjecalo povećanje prihoda od naknada za koncesije kao i povećanje prihoda od zakupa poslovnih prostora. </w:t>
      </w: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Prihodi od upravnih i administrativnih pristojbi, pristojbi po posebnim propisima i naknada -</w:t>
      </w:r>
      <w:bookmarkStart w:id="1" w:name="_Hlk40353818"/>
      <w:r w:rsidR="00CB2046">
        <w:rPr>
          <w:sz w:val="22"/>
          <w:szCs w:val="22"/>
        </w:rPr>
        <w:t>su ostvareni u iznosu od 5.506.907,47 kn i nešto su veći u odnosu na prethodnu godinu. Najznačajniji su prihodi od komunalnog doprinosa u iznosu od 2.587.922,02 (manji su u odnosu na prethodnu godinu za 526.106,09 kn), prihodi od komunalne naknade u iznosu od 1.361.662,07 kn (veći su u odnosu na prethodnu godinu za 207.863,51 kn), prihodi od upravnih i administrativnih pristojbi u iznosu od 1.040.613,54 kn (</w:t>
      </w:r>
      <w:r w:rsidR="00996010">
        <w:rPr>
          <w:sz w:val="22"/>
          <w:szCs w:val="22"/>
        </w:rPr>
        <w:t xml:space="preserve">prihodi od boravišne pristojbe koji su povećani u odnosu na prethodnu godinu za </w:t>
      </w:r>
      <w:r w:rsidR="000C1A03">
        <w:rPr>
          <w:sz w:val="22"/>
          <w:szCs w:val="22"/>
        </w:rPr>
        <w:t>14</w:t>
      </w:r>
      <w:r w:rsidR="00996010">
        <w:rPr>
          <w:sz w:val="22"/>
          <w:szCs w:val="22"/>
        </w:rPr>
        <w:t>0.</w:t>
      </w:r>
      <w:r w:rsidR="000C1A03">
        <w:rPr>
          <w:sz w:val="22"/>
          <w:szCs w:val="22"/>
        </w:rPr>
        <w:t>307</w:t>
      </w:r>
      <w:r w:rsidR="00996010">
        <w:rPr>
          <w:sz w:val="22"/>
          <w:szCs w:val="22"/>
        </w:rPr>
        <w:t>,</w:t>
      </w:r>
      <w:r w:rsidR="000C1A03">
        <w:rPr>
          <w:sz w:val="22"/>
          <w:szCs w:val="22"/>
        </w:rPr>
        <w:t>57</w:t>
      </w:r>
      <w:r w:rsidR="00996010">
        <w:rPr>
          <w:sz w:val="22"/>
          <w:szCs w:val="22"/>
        </w:rPr>
        <w:t xml:space="preserve"> kn</w:t>
      </w:r>
      <w:r w:rsidR="00CB2046">
        <w:rPr>
          <w:sz w:val="22"/>
          <w:szCs w:val="22"/>
        </w:rPr>
        <w:t xml:space="preserve">) i ostali nespomenuti prihodi u iznosu od 471.665,35 kn (tu su najznačajniji prihodi </w:t>
      </w:r>
      <w:r w:rsidR="000C1A03">
        <w:rPr>
          <w:sz w:val="22"/>
          <w:szCs w:val="22"/>
        </w:rPr>
        <w:t xml:space="preserve">Tučepi d.o.o. od naknade za sanaciju i od Vodovoda d.o.o.za dio koji se odnosi na izgradnju </w:t>
      </w:r>
      <w:r w:rsidR="00FA372F">
        <w:rPr>
          <w:sz w:val="22"/>
          <w:szCs w:val="22"/>
        </w:rPr>
        <w:t xml:space="preserve">sabirne </w:t>
      </w:r>
      <w:r w:rsidR="000C1A03">
        <w:rPr>
          <w:sz w:val="22"/>
          <w:szCs w:val="22"/>
        </w:rPr>
        <w:t xml:space="preserve">sjeverne prometnice </w:t>
      </w:r>
      <w:r w:rsidR="00FA372F">
        <w:rPr>
          <w:sz w:val="22"/>
          <w:szCs w:val="22"/>
        </w:rPr>
        <w:t xml:space="preserve">zone </w:t>
      </w:r>
      <w:r w:rsidR="000C1A03">
        <w:rPr>
          <w:sz w:val="22"/>
          <w:szCs w:val="22"/>
        </w:rPr>
        <w:t>hotela Jadran</w:t>
      </w:r>
      <w:r w:rsidR="00CB2046">
        <w:rPr>
          <w:sz w:val="22"/>
          <w:szCs w:val="22"/>
        </w:rPr>
        <w:t xml:space="preserve">). </w:t>
      </w:r>
      <w:r>
        <w:rPr>
          <w:sz w:val="22"/>
          <w:szCs w:val="22"/>
        </w:rPr>
        <w:t xml:space="preserve"> </w:t>
      </w:r>
    </w:p>
    <w:bookmarkEnd w:id="1"/>
    <w:p w:rsidR="00BE057A" w:rsidRDefault="00BE057A" w:rsidP="00BE057A">
      <w:pPr>
        <w:pStyle w:val="Default"/>
        <w:rPr>
          <w:sz w:val="22"/>
          <w:szCs w:val="22"/>
        </w:rPr>
      </w:pPr>
    </w:p>
    <w:p w:rsidR="007F4F76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Prihodi od prodaje proizvoda i robe te pruženih usluga i donacija - </w:t>
      </w:r>
      <w:r>
        <w:rPr>
          <w:sz w:val="22"/>
          <w:szCs w:val="22"/>
        </w:rPr>
        <w:t xml:space="preserve">u </w:t>
      </w:r>
      <w:r w:rsidR="007F4F76">
        <w:rPr>
          <w:sz w:val="22"/>
          <w:szCs w:val="22"/>
        </w:rPr>
        <w:t>ostvareni su u iznosu od 8.000,00 kn i isti su kao i 2018.godine (odnose se na donaciju od firme Apfel d.o.o. za kKuTz 2019).</w:t>
      </w:r>
    </w:p>
    <w:p w:rsidR="00BE057A" w:rsidRDefault="007F4F76" w:rsidP="00BE05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Prihodi od kazni, upravnih mjera i ostali prihodi </w:t>
      </w: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ostvareni su </w:t>
      </w:r>
      <w:r w:rsidR="007F4F76">
        <w:rPr>
          <w:sz w:val="22"/>
          <w:szCs w:val="22"/>
        </w:rPr>
        <w:t>u iznosu od 76.450,00 i veći su za 35.550,00 kn u odnosu na 2018.godinu (veći broj izdanih i naplaćenih prekršajnih naloga u odnosu na prethodnu godinu).</w:t>
      </w:r>
      <w:r>
        <w:rPr>
          <w:sz w:val="22"/>
          <w:szCs w:val="22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F44D9B" w:rsidRDefault="00BE057A" w:rsidP="00F44D9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i/>
          <w:iCs/>
          <w:sz w:val="22"/>
          <w:szCs w:val="22"/>
        </w:rPr>
        <w:t xml:space="preserve">Prihodi od prodaje nefinancijske imovine </w:t>
      </w:r>
      <w:r>
        <w:rPr>
          <w:sz w:val="22"/>
          <w:szCs w:val="22"/>
        </w:rPr>
        <w:t xml:space="preserve">– ostvareni su </w:t>
      </w:r>
      <w:r w:rsidR="00F44D9B">
        <w:rPr>
          <w:sz w:val="22"/>
          <w:szCs w:val="22"/>
        </w:rPr>
        <w:t xml:space="preserve">u iznosu od 2.073.711,11 kn i </w:t>
      </w:r>
      <w:r w:rsidR="00F44D9B" w:rsidRPr="00354CA6">
        <w:rPr>
          <w:sz w:val="22"/>
          <w:szCs w:val="22"/>
          <w:lang w:val="hr-HR"/>
        </w:rPr>
        <w:t>značajno</w:t>
      </w:r>
      <w:r w:rsidR="00F44D9B">
        <w:rPr>
          <w:sz w:val="22"/>
          <w:szCs w:val="22"/>
        </w:rPr>
        <w:t xml:space="preserve"> </w:t>
      </w:r>
      <w:r w:rsidR="00F44D9B" w:rsidRPr="00354CA6">
        <w:rPr>
          <w:sz w:val="22"/>
          <w:szCs w:val="22"/>
          <w:lang w:val="hr-HR"/>
        </w:rPr>
        <w:t>su</w:t>
      </w:r>
      <w:r w:rsidR="00F44D9B">
        <w:rPr>
          <w:sz w:val="22"/>
          <w:szCs w:val="22"/>
        </w:rPr>
        <w:t xml:space="preserve"> veći u odnosu na 2018.godinu (</w:t>
      </w:r>
      <w:r w:rsidR="00F44D9B" w:rsidRPr="00F44D9B">
        <w:rPr>
          <w:color w:val="000000"/>
          <w:sz w:val="22"/>
          <w:szCs w:val="22"/>
          <w:lang w:val="hr-HR" w:eastAsia="hr-HR"/>
        </w:rPr>
        <w:t>Prihodi od prodaje zemljišta su ostvareni temeljem ugovora iz 2017.godine sa Markom i Marinkom Čovićem u iznosu od 19.874,77 kn, ugovora iz 2019.godine sa Nevenom Grubišićem u iznosu od 6.840,07 kn i ugovora iz 2019.godine o zamjeni zemljišta sa Hoteli Tučepi d.d. u iznosu od 2.046.996,27 kn</w:t>
      </w:r>
      <w:r w:rsidR="0006706B">
        <w:rPr>
          <w:color w:val="000000"/>
          <w:sz w:val="22"/>
          <w:szCs w:val="22"/>
          <w:lang w:val="hr-HR" w:eastAsia="hr-HR"/>
        </w:rPr>
        <w:t>)</w:t>
      </w:r>
      <w:r w:rsidR="00F44D9B" w:rsidRPr="00F44D9B">
        <w:rPr>
          <w:color w:val="000000"/>
          <w:sz w:val="22"/>
          <w:szCs w:val="22"/>
          <w:lang w:val="hr-HR" w:eastAsia="hr-HR"/>
        </w:rPr>
        <w:t>.</w:t>
      </w:r>
      <w:r w:rsidR="00F44D9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</w:p>
    <w:p w:rsidR="00BE057A" w:rsidRDefault="00BE057A" w:rsidP="00BE057A">
      <w:pPr>
        <w:pStyle w:val="Default"/>
        <w:rPr>
          <w:sz w:val="22"/>
          <w:szCs w:val="22"/>
        </w:rPr>
      </w:pPr>
    </w:p>
    <w:p w:rsidR="008973D1" w:rsidRDefault="008973D1" w:rsidP="008973D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Primici od financijske imovine i zaduživanja </w:t>
      </w:r>
      <w:r w:rsidR="009114B9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9114B9" w:rsidRPr="009114B9">
        <w:rPr>
          <w:sz w:val="22"/>
          <w:szCs w:val="22"/>
        </w:rPr>
        <w:t>u 2019.godini Općina Tučepi nije</w:t>
      </w:r>
      <w:r w:rsidR="009114B9">
        <w:rPr>
          <w:sz w:val="22"/>
          <w:szCs w:val="22"/>
        </w:rPr>
        <w:t xml:space="preserve"> ostvarila primitke od financijske imovine i zaduživanja.</w:t>
      </w:r>
      <w:r>
        <w:rPr>
          <w:sz w:val="22"/>
          <w:szCs w:val="22"/>
        </w:rPr>
        <w:t xml:space="preserve"> </w:t>
      </w:r>
    </w:p>
    <w:p w:rsidR="008973D1" w:rsidRDefault="008973D1" w:rsidP="008973D1">
      <w:pPr>
        <w:pStyle w:val="Default"/>
        <w:rPr>
          <w:sz w:val="22"/>
          <w:szCs w:val="22"/>
        </w:rPr>
      </w:pPr>
    </w:p>
    <w:p w:rsidR="008973D1" w:rsidRDefault="008973D1" w:rsidP="008973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Izvještaj o rashodima i izdacima </w:t>
      </w:r>
    </w:p>
    <w:p w:rsidR="008973D1" w:rsidRDefault="008973D1" w:rsidP="008973D1">
      <w:pPr>
        <w:pStyle w:val="Default"/>
        <w:rPr>
          <w:b/>
          <w:bCs/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Ukupni rashodi i izdaci su ostvareni u iznosu od </w:t>
      </w:r>
      <w:r w:rsidR="003D4464">
        <w:rPr>
          <w:sz w:val="22"/>
          <w:szCs w:val="22"/>
        </w:rPr>
        <w:t xml:space="preserve">21.173.025,12 </w:t>
      </w:r>
      <w:r>
        <w:rPr>
          <w:sz w:val="22"/>
          <w:szCs w:val="22"/>
        </w:rPr>
        <w:t xml:space="preserve">kn što je za </w:t>
      </w:r>
      <w:r w:rsidR="00A83B53">
        <w:rPr>
          <w:sz w:val="22"/>
          <w:szCs w:val="22"/>
        </w:rPr>
        <w:t>7</w:t>
      </w:r>
      <w:r>
        <w:rPr>
          <w:sz w:val="22"/>
          <w:szCs w:val="22"/>
        </w:rPr>
        <w:t>.4</w:t>
      </w:r>
      <w:r w:rsidR="00A83B53">
        <w:rPr>
          <w:sz w:val="22"/>
          <w:szCs w:val="22"/>
        </w:rPr>
        <w:t>9</w:t>
      </w:r>
      <w:r>
        <w:rPr>
          <w:sz w:val="22"/>
          <w:szCs w:val="22"/>
        </w:rPr>
        <w:t>3.3</w:t>
      </w:r>
      <w:r w:rsidR="00A83B53">
        <w:rPr>
          <w:sz w:val="22"/>
          <w:szCs w:val="22"/>
        </w:rPr>
        <w:t>27,87</w:t>
      </w:r>
      <w:r>
        <w:rPr>
          <w:sz w:val="22"/>
          <w:szCs w:val="22"/>
        </w:rPr>
        <w:t xml:space="preserve"> kn </w:t>
      </w:r>
      <w:r w:rsidR="003D4464">
        <w:rPr>
          <w:sz w:val="22"/>
          <w:szCs w:val="22"/>
        </w:rPr>
        <w:t xml:space="preserve">više </w:t>
      </w:r>
      <w:r>
        <w:rPr>
          <w:sz w:val="22"/>
          <w:szCs w:val="22"/>
        </w:rPr>
        <w:t>u odnosu na 201</w:t>
      </w:r>
      <w:r w:rsidR="003D4464">
        <w:rPr>
          <w:sz w:val="22"/>
          <w:szCs w:val="22"/>
        </w:rPr>
        <w:t>8</w:t>
      </w:r>
      <w:r>
        <w:rPr>
          <w:sz w:val="22"/>
          <w:szCs w:val="22"/>
        </w:rPr>
        <w:t>. godinu. U tablici u nastavku se daju podaci o ostvarenim rashodima i izdacima u 201</w:t>
      </w:r>
      <w:r w:rsidR="003D4464">
        <w:rPr>
          <w:sz w:val="22"/>
          <w:szCs w:val="22"/>
        </w:rPr>
        <w:t>8</w:t>
      </w:r>
      <w:r>
        <w:rPr>
          <w:sz w:val="22"/>
          <w:szCs w:val="22"/>
        </w:rPr>
        <w:t>. i 201</w:t>
      </w:r>
      <w:r w:rsidR="003D4464">
        <w:rPr>
          <w:sz w:val="22"/>
          <w:szCs w:val="22"/>
        </w:rPr>
        <w:t>9</w:t>
      </w:r>
      <w:r>
        <w:rPr>
          <w:sz w:val="22"/>
          <w:szCs w:val="22"/>
        </w:rPr>
        <w:t xml:space="preserve">. godini. </w:t>
      </w:r>
    </w:p>
    <w:p w:rsidR="008973D1" w:rsidRDefault="008973D1" w:rsidP="008973D1">
      <w:pPr>
        <w:pStyle w:val="Default"/>
        <w:rPr>
          <w:sz w:val="22"/>
          <w:szCs w:val="22"/>
        </w:rPr>
      </w:pPr>
    </w:p>
    <w:p w:rsidR="0009016D" w:rsidRDefault="0009016D" w:rsidP="008973D1">
      <w:pPr>
        <w:pStyle w:val="Default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2449"/>
      </w:tblGrid>
      <w:tr w:rsidR="00394EDA" w:rsidTr="001F61B9">
        <w:tc>
          <w:tcPr>
            <w:tcW w:w="5098" w:type="dxa"/>
            <w:shd w:val="clear" w:color="auto" w:fill="7F7F7F" w:themeFill="text1" w:themeFillTint="80"/>
          </w:tcPr>
          <w:p w:rsidR="00394EDA" w:rsidRPr="000E1BCB" w:rsidRDefault="00394EDA" w:rsidP="00D44E52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Opis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F7F7F" w:themeFill="text1" w:themeFillTint="80"/>
          </w:tcPr>
          <w:p w:rsidR="00394EDA" w:rsidRPr="000E1BCB" w:rsidRDefault="00394EDA" w:rsidP="00D44E52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Ostvarenje 2018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7F7F7F" w:themeFill="text1" w:themeFillTint="80"/>
          </w:tcPr>
          <w:p w:rsidR="00394EDA" w:rsidRPr="000E1BCB" w:rsidRDefault="00394EDA" w:rsidP="00D44E52">
            <w:pPr>
              <w:pStyle w:val="Default"/>
              <w:jc w:val="center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>Ostvarenje 2019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</w:tr>
      <w:tr w:rsidR="00394EDA" w:rsidTr="001F61B9">
        <w:tc>
          <w:tcPr>
            <w:tcW w:w="5098" w:type="dxa"/>
            <w:shd w:val="clear" w:color="auto" w:fill="AEAAAA" w:themeFill="background2" w:themeFillShade="BF"/>
          </w:tcPr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SVEUKUPNO 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394EDA" w:rsidRPr="00420AAB" w:rsidRDefault="00420AAB" w:rsidP="00D44E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20AAB">
              <w:rPr>
                <w:b/>
                <w:bCs/>
                <w:sz w:val="20"/>
                <w:szCs w:val="20"/>
              </w:rPr>
              <w:t>13.679.697</w:t>
            </w:r>
            <w:r w:rsidR="003607D9">
              <w:rPr>
                <w:b/>
                <w:bCs/>
                <w:sz w:val="20"/>
                <w:szCs w:val="20"/>
              </w:rPr>
              <w:t>,25</w:t>
            </w:r>
          </w:p>
        </w:tc>
        <w:tc>
          <w:tcPr>
            <w:tcW w:w="2449" w:type="dxa"/>
            <w:shd w:val="clear" w:color="auto" w:fill="AEAAAA" w:themeFill="background2" w:themeFillShade="BF"/>
          </w:tcPr>
          <w:p w:rsidR="00394EDA" w:rsidRPr="00420AAB" w:rsidRDefault="00420AAB" w:rsidP="00D44E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7312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420AAB">
              <w:rPr>
                <w:b/>
                <w:bCs/>
                <w:sz w:val="20"/>
                <w:szCs w:val="20"/>
              </w:rPr>
              <w:t>21.173.025</w:t>
            </w:r>
            <w:r w:rsidR="0049464E">
              <w:rPr>
                <w:b/>
                <w:bCs/>
                <w:sz w:val="20"/>
                <w:szCs w:val="20"/>
              </w:rPr>
              <w:t>,12</w:t>
            </w:r>
          </w:p>
        </w:tc>
      </w:tr>
      <w:tr w:rsidR="00394EDA" w:rsidTr="001D51DC">
        <w:trPr>
          <w:trHeight w:val="398"/>
        </w:trPr>
        <w:tc>
          <w:tcPr>
            <w:tcW w:w="5098" w:type="dxa"/>
            <w:shd w:val="clear" w:color="auto" w:fill="D0CECE" w:themeFill="background2" w:themeFillShade="E6"/>
          </w:tcPr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Rashodi poslovanja 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:rsidR="00394EDA" w:rsidRPr="00420AAB" w:rsidRDefault="00420AAB" w:rsidP="00D44E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420AAB">
              <w:rPr>
                <w:b/>
                <w:bCs/>
                <w:sz w:val="20"/>
                <w:szCs w:val="20"/>
              </w:rPr>
              <w:t>8.776.371</w:t>
            </w:r>
            <w:r w:rsidR="007A7CCF">
              <w:rPr>
                <w:b/>
                <w:bCs/>
                <w:sz w:val="20"/>
                <w:szCs w:val="20"/>
              </w:rPr>
              <w:t>,25</w:t>
            </w:r>
          </w:p>
        </w:tc>
        <w:tc>
          <w:tcPr>
            <w:tcW w:w="2449" w:type="dxa"/>
            <w:shd w:val="clear" w:color="auto" w:fill="D0CECE" w:themeFill="background2" w:themeFillShade="E6"/>
          </w:tcPr>
          <w:p w:rsidR="00394EDA" w:rsidRPr="00420AAB" w:rsidRDefault="00420AAB" w:rsidP="00D44E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7312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873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20AAB">
              <w:rPr>
                <w:b/>
                <w:bCs/>
                <w:sz w:val="20"/>
                <w:szCs w:val="20"/>
              </w:rPr>
              <w:t>9.528.444</w:t>
            </w:r>
            <w:r w:rsidR="0049464E">
              <w:rPr>
                <w:b/>
                <w:bCs/>
                <w:sz w:val="20"/>
                <w:szCs w:val="20"/>
              </w:rPr>
              <w:t>,17</w:t>
            </w:r>
          </w:p>
        </w:tc>
      </w:tr>
      <w:tr w:rsidR="00394EDA" w:rsidTr="00D44E52">
        <w:tc>
          <w:tcPr>
            <w:tcW w:w="5098" w:type="dxa"/>
          </w:tcPr>
          <w:p w:rsidR="00394EDA" w:rsidRPr="000E1BCB" w:rsidRDefault="001F61B9" w:rsidP="00D44E52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Rashodi za zaposlene</w:t>
            </w:r>
          </w:p>
          <w:p w:rsidR="00394EDA" w:rsidRPr="000E1BCB" w:rsidRDefault="00394EDA" w:rsidP="00D44E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4EDA" w:rsidRPr="000E1BCB" w:rsidRDefault="00420AAB" w:rsidP="00D44E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918.516</w:t>
            </w:r>
            <w:r w:rsidR="007A7CCF">
              <w:rPr>
                <w:sz w:val="20"/>
                <w:szCs w:val="20"/>
              </w:rPr>
              <w:t>,04</w:t>
            </w:r>
          </w:p>
        </w:tc>
        <w:tc>
          <w:tcPr>
            <w:tcW w:w="2449" w:type="dxa"/>
          </w:tcPr>
          <w:p w:rsidR="00394EDA" w:rsidRPr="000E1BCB" w:rsidRDefault="00420AAB" w:rsidP="00D44E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7312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862.28</w:t>
            </w:r>
            <w:r w:rsidR="0049464E">
              <w:rPr>
                <w:sz w:val="20"/>
                <w:szCs w:val="20"/>
              </w:rPr>
              <w:t>4,60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Materijalni rashodi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4.786.905</w:t>
            </w:r>
            <w:r w:rsidR="007A7CCF">
              <w:rPr>
                <w:sz w:val="20"/>
                <w:szCs w:val="20"/>
              </w:rPr>
              <w:t>,51</w:t>
            </w:r>
          </w:p>
        </w:tc>
        <w:tc>
          <w:tcPr>
            <w:tcW w:w="2449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5.345.63</w:t>
            </w:r>
            <w:r w:rsidR="00873124">
              <w:rPr>
                <w:sz w:val="20"/>
                <w:szCs w:val="20"/>
              </w:rPr>
              <w:t>4,94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Financijski rashodi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65.150</w:t>
            </w:r>
            <w:r w:rsidR="007A7CCF">
              <w:rPr>
                <w:sz w:val="20"/>
                <w:szCs w:val="20"/>
              </w:rPr>
              <w:t>,28</w:t>
            </w:r>
          </w:p>
        </w:tc>
        <w:tc>
          <w:tcPr>
            <w:tcW w:w="2449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76.770</w:t>
            </w:r>
            <w:r w:rsidR="00873124">
              <w:rPr>
                <w:sz w:val="20"/>
                <w:szCs w:val="20"/>
              </w:rPr>
              <w:t>,16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Pomoći dane u inozemstvo i unutar opće države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A7C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7.000</w:t>
            </w:r>
            <w:r w:rsidR="007A7CCF">
              <w:rPr>
                <w:sz w:val="20"/>
                <w:szCs w:val="20"/>
              </w:rPr>
              <w:t>,00</w:t>
            </w:r>
          </w:p>
        </w:tc>
        <w:tc>
          <w:tcPr>
            <w:tcW w:w="2449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0,00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Naknade građanima i kućanstvima na temelju osiguranja i druge naknade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392.53</w:t>
            </w:r>
            <w:r w:rsidR="003607D9">
              <w:rPr>
                <w:sz w:val="20"/>
                <w:szCs w:val="20"/>
              </w:rPr>
              <w:t>7,53</w:t>
            </w:r>
          </w:p>
        </w:tc>
        <w:tc>
          <w:tcPr>
            <w:tcW w:w="2449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468.186</w:t>
            </w:r>
            <w:r w:rsidR="00873124">
              <w:rPr>
                <w:sz w:val="20"/>
                <w:szCs w:val="20"/>
              </w:rPr>
              <w:t>,31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Ostali rashodi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2.606.26</w:t>
            </w:r>
            <w:r w:rsidR="003607D9">
              <w:rPr>
                <w:sz w:val="20"/>
                <w:szCs w:val="20"/>
              </w:rPr>
              <w:t>1,89</w:t>
            </w:r>
          </w:p>
        </w:tc>
        <w:tc>
          <w:tcPr>
            <w:tcW w:w="2449" w:type="dxa"/>
          </w:tcPr>
          <w:p w:rsidR="001F61B9" w:rsidRPr="000E1BCB" w:rsidRDefault="00420AAB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2.775.568</w:t>
            </w:r>
            <w:r w:rsidR="00873124">
              <w:rPr>
                <w:sz w:val="20"/>
                <w:szCs w:val="20"/>
              </w:rPr>
              <w:t>,16</w:t>
            </w:r>
          </w:p>
        </w:tc>
      </w:tr>
      <w:tr w:rsidR="001F61B9" w:rsidTr="001D51DC">
        <w:tc>
          <w:tcPr>
            <w:tcW w:w="5098" w:type="dxa"/>
            <w:shd w:val="clear" w:color="auto" w:fill="D0CECE" w:themeFill="background2" w:themeFillShade="E6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Rashodi za nabavu nefinancijske imovine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:rsidR="001F61B9" w:rsidRPr="00420AAB" w:rsidRDefault="002D1134" w:rsidP="001F61B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20AAB">
              <w:rPr>
                <w:b/>
                <w:bCs/>
                <w:sz w:val="20"/>
                <w:szCs w:val="20"/>
              </w:rPr>
              <w:t>4.903.326</w:t>
            </w:r>
            <w:r w:rsidR="003607D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49" w:type="dxa"/>
            <w:shd w:val="clear" w:color="auto" w:fill="D0CECE" w:themeFill="background2" w:themeFillShade="E6"/>
          </w:tcPr>
          <w:p w:rsidR="001F61B9" w:rsidRPr="00420AAB" w:rsidRDefault="002D1134" w:rsidP="001F61B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B1E7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20AAB">
              <w:rPr>
                <w:b/>
                <w:bCs/>
                <w:sz w:val="20"/>
                <w:szCs w:val="20"/>
              </w:rPr>
              <w:t>11.644.58</w:t>
            </w:r>
            <w:r w:rsidR="005B1E7A" w:rsidRPr="00420AAB">
              <w:rPr>
                <w:b/>
                <w:bCs/>
                <w:sz w:val="20"/>
                <w:szCs w:val="20"/>
              </w:rPr>
              <w:t>0,95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Rashodi za nabavu neproizvedene imovine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2D1134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6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255.71</w:t>
            </w:r>
            <w:r w:rsidR="003607D9">
              <w:rPr>
                <w:sz w:val="20"/>
                <w:szCs w:val="20"/>
              </w:rPr>
              <w:t>5,67</w:t>
            </w:r>
          </w:p>
        </w:tc>
        <w:tc>
          <w:tcPr>
            <w:tcW w:w="2449" w:type="dxa"/>
          </w:tcPr>
          <w:p w:rsidR="001F61B9" w:rsidRPr="000E1BCB" w:rsidRDefault="002D1134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B1E7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2.043.969</w:t>
            </w:r>
            <w:r w:rsidR="005B1E7A">
              <w:rPr>
                <w:sz w:val="20"/>
                <w:szCs w:val="20"/>
              </w:rPr>
              <w:t>,05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Rashodi za nabavu proizvedene dugotrajne imovine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2D1134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4.647.610</w:t>
            </w:r>
            <w:r w:rsidR="003607D9">
              <w:rPr>
                <w:sz w:val="20"/>
                <w:szCs w:val="20"/>
              </w:rPr>
              <w:t>,33</w:t>
            </w:r>
          </w:p>
        </w:tc>
        <w:tc>
          <w:tcPr>
            <w:tcW w:w="2449" w:type="dxa"/>
          </w:tcPr>
          <w:p w:rsidR="001F61B9" w:rsidRPr="000E1BCB" w:rsidRDefault="002D1134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B1E7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9.600.61</w:t>
            </w:r>
            <w:r w:rsidR="005B1E7A">
              <w:rPr>
                <w:sz w:val="20"/>
                <w:szCs w:val="20"/>
              </w:rPr>
              <w:t>1,90</w:t>
            </w:r>
          </w:p>
        </w:tc>
      </w:tr>
      <w:tr w:rsidR="001F61B9" w:rsidTr="001D51DC">
        <w:tc>
          <w:tcPr>
            <w:tcW w:w="5098" w:type="dxa"/>
            <w:shd w:val="clear" w:color="auto" w:fill="D0CECE" w:themeFill="background2" w:themeFillShade="E6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b/>
                <w:bCs/>
                <w:sz w:val="20"/>
                <w:szCs w:val="20"/>
              </w:rPr>
              <w:t xml:space="preserve">Izdaci za financijsku imovinu i otplate zajmova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:rsidR="001F61B9" w:rsidRPr="00420AAB" w:rsidRDefault="00420AAB" w:rsidP="001F61B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3607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</w:t>
            </w:r>
            <w:r w:rsidRPr="00420AA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49" w:type="dxa"/>
            <w:shd w:val="clear" w:color="auto" w:fill="D0CECE" w:themeFill="background2" w:themeFillShade="E6"/>
          </w:tcPr>
          <w:p w:rsidR="001F61B9" w:rsidRPr="00420AAB" w:rsidRDefault="00420AAB" w:rsidP="001F61B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20A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Izdaci za dane zajmove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36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0,00</w:t>
            </w:r>
          </w:p>
        </w:tc>
        <w:tc>
          <w:tcPr>
            <w:tcW w:w="2449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0,00</w:t>
            </w:r>
          </w:p>
        </w:tc>
      </w:tr>
      <w:tr w:rsidR="001F61B9" w:rsidTr="00D44E52"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Izdaci za dionice i udjele u glavnici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6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0,00</w:t>
            </w:r>
          </w:p>
        </w:tc>
        <w:tc>
          <w:tcPr>
            <w:tcW w:w="2449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0,00</w:t>
            </w:r>
          </w:p>
        </w:tc>
      </w:tr>
      <w:tr w:rsidR="001F61B9" w:rsidTr="001F61B9">
        <w:trPr>
          <w:trHeight w:val="496"/>
        </w:trPr>
        <w:tc>
          <w:tcPr>
            <w:tcW w:w="5098" w:type="dxa"/>
          </w:tcPr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lastRenderedPageBreak/>
              <w:t xml:space="preserve">Izdaci za otplatu glavnice primljenih kredita i zajmova </w:t>
            </w:r>
          </w:p>
          <w:p w:rsidR="001F61B9" w:rsidRPr="000E1BCB" w:rsidRDefault="001F61B9" w:rsidP="001F61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6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0,00</w:t>
            </w:r>
          </w:p>
        </w:tc>
        <w:tc>
          <w:tcPr>
            <w:tcW w:w="2449" w:type="dxa"/>
          </w:tcPr>
          <w:p w:rsidR="001F61B9" w:rsidRPr="000E1BCB" w:rsidRDefault="00E244A3" w:rsidP="001F61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0,00</w:t>
            </w:r>
          </w:p>
        </w:tc>
      </w:tr>
    </w:tbl>
    <w:p w:rsidR="0009016D" w:rsidRDefault="0009016D" w:rsidP="008973D1">
      <w:pPr>
        <w:pStyle w:val="Default"/>
        <w:rPr>
          <w:sz w:val="22"/>
          <w:szCs w:val="22"/>
        </w:rPr>
      </w:pPr>
    </w:p>
    <w:p w:rsidR="0009016D" w:rsidRDefault="0009016D" w:rsidP="008973D1">
      <w:pPr>
        <w:pStyle w:val="Default"/>
        <w:rPr>
          <w:sz w:val="22"/>
          <w:szCs w:val="22"/>
        </w:rPr>
      </w:pPr>
    </w:p>
    <w:p w:rsidR="0009016D" w:rsidRDefault="0009016D" w:rsidP="008973D1">
      <w:pPr>
        <w:pStyle w:val="Default"/>
        <w:rPr>
          <w:sz w:val="22"/>
          <w:szCs w:val="22"/>
        </w:rPr>
      </w:pPr>
    </w:p>
    <w:p w:rsidR="0009016D" w:rsidRDefault="0009016D" w:rsidP="008973D1">
      <w:pPr>
        <w:pStyle w:val="Default"/>
        <w:rPr>
          <w:sz w:val="22"/>
          <w:szCs w:val="22"/>
        </w:rPr>
      </w:pPr>
    </w:p>
    <w:p w:rsidR="0009016D" w:rsidRDefault="0009016D" w:rsidP="00551B4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Vrijednosno značajniji rashodi i izdaci odnose se na</w:t>
      </w:r>
      <w:r w:rsidR="00D854CF" w:rsidRPr="00D854CF">
        <w:rPr>
          <w:sz w:val="22"/>
          <w:szCs w:val="22"/>
        </w:rPr>
        <w:t xml:space="preserve"> </w:t>
      </w:r>
      <w:r w:rsidR="00D854CF">
        <w:rPr>
          <w:sz w:val="22"/>
          <w:szCs w:val="22"/>
        </w:rPr>
        <w:t>nabavu nefinancijske imovine 55,00%</w:t>
      </w:r>
      <w:r>
        <w:rPr>
          <w:sz w:val="22"/>
          <w:szCs w:val="22"/>
        </w:rPr>
        <w:t xml:space="preserve"> </w:t>
      </w:r>
      <w:r w:rsidR="00D854CF">
        <w:rPr>
          <w:sz w:val="22"/>
          <w:szCs w:val="22"/>
        </w:rPr>
        <w:t xml:space="preserve">, </w:t>
      </w:r>
      <w:r>
        <w:rPr>
          <w:sz w:val="22"/>
          <w:szCs w:val="22"/>
        </w:rPr>
        <w:t>na materijalne rashode otpada 2</w:t>
      </w:r>
      <w:r w:rsidR="00D854CF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="00D854CF">
        <w:rPr>
          <w:sz w:val="22"/>
          <w:szCs w:val="22"/>
        </w:rPr>
        <w:t>2</w:t>
      </w:r>
      <w:r>
        <w:rPr>
          <w:sz w:val="22"/>
          <w:szCs w:val="22"/>
        </w:rPr>
        <w:t>5 %</w:t>
      </w:r>
      <w:r w:rsidR="00D854CF">
        <w:rPr>
          <w:sz w:val="22"/>
          <w:szCs w:val="22"/>
        </w:rPr>
        <w:t>,</w:t>
      </w:r>
      <w:r>
        <w:rPr>
          <w:sz w:val="22"/>
          <w:szCs w:val="22"/>
        </w:rPr>
        <w:t xml:space="preserve"> na ostale rashode </w:t>
      </w:r>
      <w:r w:rsidR="00D854CF">
        <w:rPr>
          <w:sz w:val="22"/>
          <w:szCs w:val="22"/>
        </w:rPr>
        <w:t>13</w:t>
      </w:r>
      <w:r>
        <w:rPr>
          <w:sz w:val="22"/>
          <w:szCs w:val="22"/>
        </w:rPr>
        <w:t>,</w:t>
      </w:r>
      <w:r w:rsidR="00D854CF">
        <w:rPr>
          <w:sz w:val="22"/>
          <w:szCs w:val="22"/>
        </w:rPr>
        <w:t>11</w:t>
      </w:r>
      <w:r>
        <w:rPr>
          <w:sz w:val="22"/>
          <w:szCs w:val="22"/>
        </w:rPr>
        <w:t xml:space="preserve"> % te na rashode za zaposlene </w:t>
      </w:r>
      <w:r w:rsidR="00D854CF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="00D854CF">
        <w:rPr>
          <w:sz w:val="22"/>
          <w:szCs w:val="22"/>
        </w:rPr>
        <w:t>08</w:t>
      </w:r>
      <w:r>
        <w:rPr>
          <w:sz w:val="22"/>
          <w:szCs w:val="22"/>
        </w:rPr>
        <w:t xml:space="preserve"> % ukupno ostvarenih rashoda i izdataka. Svi drugi rashodi i izdaci (financijski rashodi</w:t>
      </w:r>
      <w:r w:rsidR="008D3F64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naknade građanima i kućanstvima na temelju osiguranja i druge naknade) čine </w:t>
      </w:r>
      <w:r w:rsidR="00D854CF">
        <w:rPr>
          <w:sz w:val="22"/>
          <w:szCs w:val="22"/>
        </w:rPr>
        <w:t>2</w:t>
      </w:r>
      <w:r>
        <w:rPr>
          <w:sz w:val="22"/>
          <w:szCs w:val="22"/>
        </w:rPr>
        <w:t>,5</w:t>
      </w:r>
      <w:r w:rsidR="00D854CF">
        <w:rPr>
          <w:sz w:val="22"/>
          <w:szCs w:val="22"/>
        </w:rPr>
        <w:t>6</w:t>
      </w:r>
      <w:r>
        <w:rPr>
          <w:sz w:val="22"/>
          <w:szCs w:val="22"/>
        </w:rPr>
        <w:t xml:space="preserve"> % ukupnih rashoda i izdataka.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Rashodi za zaposlene </w:t>
      </w:r>
      <w:r w:rsidR="005D2852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5D2852">
        <w:rPr>
          <w:sz w:val="22"/>
          <w:szCs w:val="22"/>
        </w:rPr>
        <w:t>Rashodi za zaposlene su ostvareni u iznosu od 862.284,60 kn i manji su u odnosu na prethodnu godinu za 56</w:t>
      </w:r>
      <w:r>
        <w:rPr>
          <w:sz w:val="22"/>
          <w:szCs w:val="22"/>
        </w:rPr>
        <w:t>.</w:t>
      </w:r>
      <w:r w:rsidR="005D2852">
        <w:rPr>
          <w:sz w:val="22"/>
          <w:szCs w:val="22"/>
        </w:rPr>
        <w:t>231,44</w:t>
      </w:r>
      <w:r w:rsidR="002A6FE9">
        <w:rPr>
          <w:sz w:val="22"/>
          <w:szCs w:val="22"/>
        </w:rPr>
        <w:t xml:space="preserve"> kn</w:t>
      </w:r>
      <w:r w:rsidR="005D285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D2852">
        <w:rPr>
          <w:sz w:val="22"/>
          <w:szCs w:val="22"/>
        </w:rPr>
        <w:t xml:space="preserve">Rashodi su smanjeni u odnosu na prethodnu godinu iz razloga što je </w:t>
      </w:r>
      <w:r w:rsidR="005D2852" w:rsidRPr="005D2852">
        <w:rPr>
          <w:sz w:val="22"/>
          <w:szCs w:val="22"/>
        </w:rPr>
        <w:t xml:space="preserve">stalni komunalni redar zaposlen u 5.mjesecu 2019.godine i umjesto </w:t>
      </w:r>
      <w:r w:rsidR="001C46CE">
        <w:rPr>
          <w:sz w:val="22"/>
          <w:szCs w:val="22"/>
        </w:rPr>
        <w:t xml:space="preserve">planirana </w:t>
      </w:r>
      <w:r w:rsidR="005D2852" w:rsidRPr="005D2852">
        <w:rPr>
          <w:sz w:val="22"/>
          <w:szCs w:val="22"/>
        </w:rPr>
        <w:t xml:space="preserve">tri </w:t>
      </w:r>
      <w:r w:rsidR="001C46CE">
        <w:rPr>
          <w:sz w:val="22"/>
          <w:szCs w:val="22"/>
        </w:rPr>
        <w:t xml:space="preserve">zaposlena su </w:t>
      </w:r>
      <w:r w:rsidR="005D2852" w:rsidRPr="005D2852">
        <w:rPr>
          <w:sz w:val="22"/>
          <w:szCs w:val="22"/>
        </w:rPr>
        <w:t>dva sezonska komunalna redara</w:t>
      </w:r>
      <w:r w:rsidR="005D2852">
        <w:rPr>
          <w:sz w:val="22"/>
          <w:szCs w:val="22"/>
        </w:rPr>
        <w:t>.</w:t>
      </w:r>
    </w:p>
    <w:p w:rsidR="005D2852" w:rsidRDefault="005D2852" w:rsidP="0009016D">
      <w:pPr>
        <w:pStyle w:val="Default"/>
        <w:rPr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Materijalni rashodi - </w:t>
      </w:r>
      <w:r>
        <w:rPr>
          <w:sz w:val="22"/>
          <w:szCs w:val="22"/>
        </w:rPr>
        <w:t xml:space="preserve">ostvareni su </w:t>
      </w:r>
      <w:r w:rsidR="00560231">
        <w:rPr>
          <w:sz w:val="22"/>
          <w:szCs w:val="22"/>
        </w:rPr>
        <w:t xml:space="preserve">u iznosu od 5.345.634,94 kn i veći su u odnosu na prethodnu godinu za 558.729,43 kn. </w:t>
      </w:r>
      <w:r w:rsidR="00F42228">
        <w:rPr>
          <w:sz w:val="22"/>
          <w:szCs w:val="22"/>
        </w:rPr>
        <w:t xml:space="preserve">Sastoje se od naknada troškova zaposlenima u iznosu od 14.953,25 kn, rashoda za materijal i energiju u iznosu od 272.443,00 kn, rashoda za usluge u iznosu od 3.894.158,67 kn i ostalih nespomenutih rashoda poslovanja u iznosu od 1.164.080,02 kn. Ovo povećanje je u najvećem dijelu posljedica povećanja ostalih usluga tekućeg održavanja koje su ostvarene u iznosu od 1.528.864,06 kn i za </w:t>
      </w:r>
      <w:r w:rsidR="001F0BC9">
        <w:rPr>
          <w:sz w:val="22"/>
          <w:szCs w:val="22"/>
        </w:rPr>
        <w:t xml:space="preserve">690.795,28 </w:t>
      </w:r>
      <w:r w:rsidR="00F42228">
        <w:rPr>
          <w:sz w:val="22"/>
          <w:szCs w:val="22"/>
        </w:rPr>
        <w:t>kn su već</w:t>
      </w:r>
      <w:r w:rsidR="00794AAC">
        <w:rPr>
          <w:sz w:val="22"/>
          <w:szCs w:val="22"/>
        </w:rPr>
        <w:t>e</w:t>
      </w:r>
      <w:r w:rsidR="00F42228">
        <w:rPr>
          <w:sz w:val="22"/>
          <w:szCs w:val="22"/>
        </w:rPr>
        <w:t xml:space="preserve"> u odnosu na </w:t>
      </w:r>
      <w:r w:rsidR="00794AAC">
        <w:rPr>
          <w:sz w:val="22"/>
          <w:szCs w:val="22"/>
        </w:rPr>
        <w:t xml:space="preserve">prethodnu </w:t>
      </w:r>
      <w:r w:rsidR="00F42228">
        <w:rPr>
          <w:sz w:val="22"/>
          <w:szCs w:val="22"/>
        </w:rPr>
        <w:t>godinu</w:t>
      </w:r>
      <w:r w:rsidR="001F0B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Default="0009016D" w:rsidP="008602C7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Financijski rashodi - </w:t>
      </w:r>
      <w:r>
        <w:rPr>
          <w:sz w:val="22"/>
          <w:szCs w:val="22"/>
        </w:rPr>
        <w:t>financijski rashodi se odnose na bankarske usluge i usluge platnog prometa</w:t>
      </w:r>
      <w:r w:rsidR="003F1104">
        <w:rPr>
          <w:sz w:val="22"/>
          <w:szCs w:val="22"/>
        </w:rPr>
        <w:t>, zatezne kamate i ostale nespomenute financijske rashode.</w:t>
      </w:r>
      <w:r>
        <w:rPr>
          <w:sz w:val="22"/>
          <w:szCs w:val="22"/>
        </w:rPr>
        <w:t xml:space="preserve"> </w:t>
      </w:r>
      <w:r w:rsidR="003F1104">
        <w:rPr>
          <w:sz w:val="22"/>
          <w:szCs w:val="22"/>
        </w:rPr>
        <w:t xml:space="preserve">U 2019.godini su ostvareni u iznosu od 76.770,16 kn i veći su u odnosu na prethodnu godinu za 11.619,88 kn. Do povećanja je došlo jer </w:t>
      </w:r>
      <w:r w:rsidR="008602C7">
        <w:rPr>
          <w:sz w:val="22"/>
          <w:szCs w:val="22"/>
        </w:rPr>
        <w:t xml:space="preserve">su </w:t>
      </w:r>
      <w:r w:rsidR="003F1104">
        <w:rPr>
          <w:sz w:val="22"/>
          <w:szCs w:val="22"/>
        </w:rPr>
        <w:t>se povećali ostali nespomenuti financijski rashodi</w:t>
      </w:r>
      <w:r w:rsidR="008602C7">
        <w:rPr>
          <w:sz w:val="22"/>
          <w:szCs w:val="22"/>
        </w:rPr>
        <w:t xml:space="preserve"> zbog povećane naplate poreza</w:t>
      </w:r>
      <w:r w:rsidR="003F1104">
        <w:rPr>
          <w:sz w:val="22"/>
          <w:szCs w:val="22"/>
        </w:rPr>
        <w:t xml:space="preserve"> ( </w:t>
      </w:r>
      <w:r w:rsidR="008602C7" w:rsidRPr="008602C7">
        <w:rPr>
          <w:color w:val="000000"/>
          <w:sz w:val="22"/>
          <w:szCs w:val="22"/>
          <w:lang w:val="hr-HR" w:eastAsia="hr-HR"/>
        </w:rPr>
        <w:t xml:space="preserve">Ostali nespomenuti financijski rashodi obuhvaćaju naknade Poreznoj upravi za poslove naplate poreza na potrošnju ( 5% od naplaćenog iznosa po Ugovoru ) i poreza na dohodak (temeljem </w:t>
      </w:r>
      <w:r w:rsidR="008602C7" w:rsidRPr="008602C7">
        <w:rPr>
          <w:sz w:val="22"/>
          <w:szCs w:val="22"/>
        </w:rPr>
        <w:t>novog Zakona o financiranju jedinica lokalne i područne samouprave NN 127/17 koji se primjenjuje od 01.01.2018.godine i  u kojem je određeno da porezna uprava naplaćuje 1% naknade od ukupno naplaćenih prihoda</w:t>
      </w:r>
      <w:r w:rsidR="008602C7" w:rsidRPr="008602C7">
        <w:rPr>
          <w:color w:val="000000"/>
          <w:sz w:val="22"/>
          <w:szCs w:val="22"/>
          <w:lang w:val="hr-HR" w:eastAsia="hr-HR"/>
        </w:rPr>
        <w:t>)</w:t>
      </w:r>
      <w:r w:rsidR="008602C7">
        <w:rPr>
          <w:color w:val="000000"/>
          <w:sz w:val="22"/>
          <w:szCs w:val="22"/>
          <w:lang w:val="hr-HR" w:eastAsia="hr-HR"/>
        </w:rPr>
        <w:t>.</w:t>
      </w:r>
      <w:r>
        <w:rPr>
          <w:sz w:val="22"/>
          <w:szCs w:val="22"/>
        </w:rPr>
        <w:t xml:space="preserve">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Pomoći dane u inozemstvo i unutar općeg proračuna </w:t>
      </w:r>
      <w:r w:rsidR="00840BE6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840BE6">
        <w:rPr>
          <w:sz w:val="22"/>
          <w:szCs w:val="22"/>
        </w:rPr>
        <w:t xml:space="preserve">U 2019.godini nije bilo pomoći koje su dane u inozemstvo kao ni unutar općeg proračuna. </w:t>
      </w:r>
      <w:r>
        <w:rPr>
          <w:sz w:val="22"/>
          <w:szCs w:val="22"/>
        </w:rPr>
        <w:t xml:space="preserve"> </w:t>
      </w:r>
    </w:p>
    <w:p w:rsidR="00840BE6" w:rsidRDefault="00840BE6" w:rsidP="0009016D">
      <w:pPr>
        <w:pStyle w:val="Default"/>
        <w:rPr>
          <w:sz w:val="22"/>
          <w:szCs w:val="22"/>
        </w:rPr>
      </w:pPr>
    </w:p>
    <w:p w:rsidR="0009016D" w:rsidRPr="008602C7" w:rsidRDefault="0009016D" w:rsidP="0009016D">
      <w:pPr>
        <w:pStyle w:val="Default"/>
        <w:rPr>
          <w:sz w:val="22"/>
          <w:szCs w:val="22"/>
        </w:rPr>
      </w:pPr>
      <w:r w:rsidRPr="008602C7">
        <w:rPr>
          <w:i/>
          <w:iCs/>
          <w:sz w:val="22"/>
          <w:szCs w:val="22"/>
        </w:rPr>
        <w:t xml:space="preserve">Naknade građanima i kućanstvima - </w:t>
      </w:r>
      <w:r w:rsidRPr="008602C7">
        <w:rPr>
          <w:sz w:val="22"/>
          <w:szCs w:val="22"/>
        </w:rPr>
        <w:t xml:space="preserve">ostvarene su u iznosu od </w:t>
      </w:r>
      <w:r w:rsidR="00CD410E" w:rsidRPr="008602C7">
        <w:rPr>
          <w:sz w:val="22"/>
          <w:szCs w:val="22"/>
        </w:rPr>
        <w:t xml:space="preserve">468.186,31 </w:t>
      </w:r>
      <w:r w:rsidRPr="008602C7">
        <w:rPr>
          <w:sz w:val="22"/>
          <w:szCs w:val="22"/>
        </w:rPr>
        <w:t xml:space="preserve">kn, a odnose se prvenstveno na sve naknade u sklopu socijalnog programa, te su </w:t>
      </w:r>
      <w:r w:rsidR="00CD410E" w:rsidRPr="008602C7">
        <w:rPr>
          <w:sz w:val="22"/>
          <w:szCs w:val="22"/>
        </w:rPr>
        <w:t xml:space="preserve">veće </w:t>
      </w:r>
      <w:r w:rsidRPr="008602C7">
        <w:rPr>
          <w:sz w:val="22"/>
          <w:szCs w:val="22"/>
        </w:rPr>
        <w:t xml:space="preserve">za </w:t>
      </w:r>
      <w:r w:rsidR="00CD410E" w:rsidRPr="008602C7">
        <w:rPr>
          <w:sz w:val="22"/>
          <w:szCs w:val="22"/>
        </w:rPr>
        <w:t>75</w:t>
      </w:r>
      <w:r w:rsidRPr="008602C7">
        <w:rPr>
          <w:sz w:val="22"/>
          <w:szCs w:val="22"/>
        </w:rPr>
        <w:t>.</w:t>
      </w:r>
      <w:r w:rsidR="00CD410E" w:rsidRPr="008602C7">
        <w:rPr>
          <w:sz w:val="22"/>
          <w:szCs w:val="22"/>
        </w:rPr>
        <w:t>648,47</w:t>
      </w:r>
      <w:r w:rsidRPr="008602C7">
        <w:rPr>
          <w:sz w:val="22"/>
          <w:szCs w:val="22"/>
        </w:rPr>
        <w:t xml:space="preserve"> kn.</w:t>
      </w:r>
      <w:r w:rsidR="00B2611B" w:rsidRPr="008602C7">
        <w:rPr>
          <w:sz w:val="22"/>
          <w:szCs w:val="22"/>
        </w:rPr>
        <w:t xml:space="preserve"> U 2019.godini od ukupnog iznosa naknada </w:t>
      </w:r>
      <w:r w:rsidR="001E38B9" w:rsidRPr="008602C7">
        <w:rPr>
          <w:sz w:val="22"/>
          <w:szCs w:val="22"/>
        </w:rPr>
        <w:t>6</w:t>
      </w:r>
      <w:r w:rsidR="00B2611B" w:rsidRPr="008602C7">
        <w:rPr>
          <w:sz w:val="22"/>
          <w:szCs w:val="22"/>
        </w:rPr>
        <w:t>0.</w:t>
      </w:r>
      <w:r w:rsidR="001E38B9" w:rsidRPr="008602C7">
        <w:rPr>
          <w:sz w:val="22"/>
          <w:szCs w:val="22"/>
        </w:rPr>
        <w:t>539</w:t>
      </w:r>
      <w:r w:rsidR="00B2611B" w:rsidRPr="008602C7">
        <w:rPr>
          <w:sz w:val="22"/>
          <w:szCs w:val="22"/>
        </w:rPr>
        <w:t>,</w:t>
      </w:r>
      <w:r w:rsidR="001E38B9" w:rsidRPr="008602C7">
        <w:rPr>
          <w:sz w:val="22"/>
          <w:szCs w:val="22"/>
        </w:rPr>
        <w:t>45</w:t>
      </w:r>
      <w:r w:rsidR="00B2611B" w:rsidRPr="008602C7">
        <w:rPr>
          <w:sz w:val="22"/>
          <w:szCs w:val="22"/>
        </w:rPr>
        <w:t xml:space="preserve"> kn se odnosi na jednokratne novčane naknade, 1</w:t>
      </w:r>
      <w:r w:rsidR="001E38B9" w:rsidRPr="008602C7">
        <w:rPr>
          <w:sz w:val="22"/>
          <w:szCs w:val="22"/>
        </w:rPr>
        <w:t>37</w:t>
      </w:r>
      <w:r w:rsidR="00B2611B" w:rsidRPr="008602C7">
        <w:rPr>
          <w:sz w:val="22"/>
          <w:szCs w:val="22"/>
        </w:rPr>
        <w:t>.</w:t>
      </w:r>
      <w:r w:rsidR="001E38B9" w:rsidRPr="008602C7">
        <w:rPr>
          <w:sz w:val="22"/>
          <w:szCs w:val="22"/>
        </w:rPr>
        <w:t>5</w:t>
      </w:r>
      <w:r w:rsidR="00B2611B" w:rsidRPr="008602C7">
        <w:rPr>
          <w:sz w:val="22"/>
          <w:szCs w:val="22"/>
        </w:rPr>
        <w:t xml:space="preserve">00,00 kn za studentske stipendije, </w:t>
      </w:r>
      <w:r w:rsidR="001E38B9" w:rsidRPr="008602C7">
        <w:rPr>
          <w:sz w:val="22"/>
          <w:szCs w:val="22"/>
        </w:rPr>
        <w:t>76</w:t>
      </w:r>
      <w:r w:rsidR="00B2611B" w:rsidRPr="008602C7">
        <w:rPr>
          <w:sz w:val="22"/>
          <w:szCs w:val="22"/>
        </w:rPr>
        <w:t>.000,00kn za naknade za novorođenu djecu</w:t>
      </w:r>
      <w:r w:rsidR="00832187" w:rsidRPr="008602C7">
        <w:rPr>
          <w:sz w:val="22"/>
          <w:szCs w:val="22"/>
        </w:rPr>
        <w:t>, 9.882,74 kn za poklon pakete za socijalno ugrožene obitelji</w:t>
      </w:r>
      <w:r w:rsidR="00B2611B" w:rsidRPr="008602C7">
        <w:rPr>
          <w:sz w:val="22"/>
          <w:szCs w:val="22"/>
        </w:rPr>
        <w:t xml:space="preserve"> i 184.264,12 kn za sufinanciranje prijevoza.</w:t>
      </w:r>
      <w:r w:rsidRPr="008602C7">
        <w:rPr>
          <w:sz w:val="22"/>
          <w:szCs w:val="22"/>
        </w:rPr>
        <w:t xml:space="preserve">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Pr="008602C7" w:rsidRDefault="0009016D" w:rsidP="00C27CB4">
      <w:pPr>
        <w:autoSpaceDE w:val="0"/>
        <w:autoSpaceDN w:val="0"/>
        <w:adjustRightInd w:val="0"/>
        <w:rPr>
          <w:sz w:val="22"/>
          <w:szCs w:val="22"/>
        </w:rPr>
      </w:pPr>
      <w:r w:rsidRPr="008602C7">
        <w:rPr>
          <w:i/>
          <w:iCs/>
          <w:sz w:val="22"/>
          <w:szCs w:val="22"/>
        </w:rPr>
        <w:t xml:space="preserve">Ostali rashodi - </w:t>
      </w:r>
      <w:r w:rsidRPr="008602C7">
        <w:rPr>
          <w:sz w:val="22"/>
          <w:szCs w:val="22"/>
        </w:rPr>
        <w:t xml:space="preserve">ostali rashodi su ostvareni </w:t>
      </w:r>
      <w:r w:rsidR="00A43367" w:rsidRPr="008602C7">
        <w:rPr>
          <w:sz w:val="22"/>
          <w:szCs w:val="22"/>
        </w:rPr>
        <w:t xml:space="preserve">u iznosu od 2.775.568,16 </w:t>
      </w:r>
      <w:r w:rsidRPr="008602C7">
        <w:rPr>
          <w:sz w:val="22"/>
          <w:szCs w:val="22"/>
        </w:rPr>
        <w:t>kn</w:t>
      </w:r>
      <w:r w:rsidR="00A43367" w:rsidRPr="008602C7">
        <w:rPr>
          <w:sz w:val="22"/>
          <w:szCs w:val="22"/>
        </w:rPr>
        <w:t xml:space="preserve"> i veći su u odnosu na 2018.godinu za 169.306,27 kn. Ostali rashodi se sastoje od tekućih donacija u iznosu od 2.216.238,19 kn (tekuće donacije za udruge koje se financiraju iz proračuna</w:t>
      </w:r>
      <w:r w:rsidR="00CA1BA2" w:rsidRPr="008602C7">
        <w:rPr>
          <w:sz w:val="22"/>
          <w:szCs w:val="22"/>
        </w:rPr>
        <w:t>)</w:t>
      </w:r>
      <w:r w:rsidR="00A43367" w:rsidRPr="008602C7">
        <w:rPr>
          <w:sz w:val="22"/>
          <w:szCs w:val="22"/>
        </w:rPr>
        <w:t>, kapitalnih donacija u iznosu od 216.050,78 kn (</w:t>
      </w:r>
      <w:r w:rsidR="00CA1BA2" w:rsidRPr="008602C7">
        <w:rPr>
          <w:sz w:val="22"/>
          <w:szCs w:val="22"/>
        </w:rPr>
        <w:t>k</w:t>
      </w:r>
      <w:r w:rsidR="00C27CB4" w:rsidRPr="008602C7">
        <w:rPr>
          <w:color w:val="000000"/>
          <w:sz w:val="22"/>
          <w:szCs w:val="22"/>
        </w:rPr>
        <w:t>apitalne donacije Dvd Tučepi u iznosu od 216.050,78 kn za plaćanje leasinga za novo vatrogasno vozilo</w:t>
      </w:r>
      <w:r w:rsidR="00A43367" w:rsidRPr="008602C7">
        <w:rPr>
          <w:sz w:val="22"/>
          <w:szCs w:val="22"/>
        </w:rPr>
        <w:t>) i kapitalnih pomoći trgovačkim društvima u javnom sektoru u iznosu od 343.279,19 kn (</w:t>
      </w:r>
      <w:r w:rsidR="008576E9" w:rsidRPr="008602C7">
        <w:rPr>
          <w:color w:val="000000"/>
          <w:sz w:val="22"/>
          <w:szCs w:val="22"/>
        </w:rPr>
        <w:t xml:space="preserve">Kapitalne pomoći u iznosu od 343.279,19 kn isplaćene su Tučepi d.o.o.  Od toga iznosa 180.779,19 kn je namjenjeno za plaćanje leasinga za  vozilo za prikupljanje i odvoz komunalnog otpada  sredstva se doznačavaju mjesečno), 122.500,00 kn jednokratno za pokrivanje troškova nabave komunalnog teretnog vozila za odvoz reciklabilnog otpada (plastika </w:t>
      </w:r>
      <w:r w:rsidR="006C21A2" w:rsidRPr="008602C7">
        <w:rPr>
          <w:color w:val="000000"/>
          <w:sz w:val="22"/>
          <w:szCs w:val="22"/>
        </w:rPr>
        <w:t>i</w:t>
      </w:r>
      <w:r w:rsidR="008576E9" w:rsidRPr="008602C7">
        <w:rPr>
          <w:color w:val="000000"/>
          <w:sz w:val="22"/>
          <w:szCs w:val="22"/>
        </w:rPr>
        <w:t xml:space="preserve"> sl.) i 40.000,00 kn jednokratno za pokrivanje troškova odvoza komunalnog otpada na području Općine Tučepi</w:t>
      </w:r>
      <w:r w:rsidR="00A43367" w:rsidRPr="008602C7">
        <w:rPr>
          <w:sz w:val="22"/>
          <w:szCs w:val="22"/>
        </w:rPr>
        <w:t>).</w:t>
      </w:r>
      <w:r w:rsidRPr="008602C7">
        <w:rPr>
          <w:sz w:val="22"/>
          <w:szCs w:val="22"/>
        </w:rPr>
        <w:t xml:space="preserve">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Rashodi za nabavu nefinancijske imovine – </w:t>
      </w:r>
      <w:r w:rsidR="00A536E7">
        <w:rPr>
          <w:sz w:val="22"/>
          <w:szCs w:val="22"/>
        </w:rPr>
        <w:t xml:space="preserve">su </w:t>
      </w:r>
      <w:r>
        <w:rPr>
          <w:sz w:val="22"/>
          <w:szCs w:val="22"/>
        </w:rPr>
        <w:t>ostvaren</w:t>
      </w:r>
      <w:r w:rsidR="00A536E7">
        <w:rPr>
          <w:sz w:val="22"/>
          <w:szCs w:val="22"/>
        </w:rPr>
        <w:t>i u ukupnom iznosu od 11.644.580,95 kn i znatno su veći u odnosu na prethodnu godinu (za 6.741.254,95 kn )</w:t>
      </w:r>
      <w:r>
        <w:rPr>
          <w:sz w:val="22"/>
          <w:szCs w:val="22"/>
        </w:rPr>
        <w:t>.</w:t>
      </w:r>
      <w:r w:rsidR="00A536E7">
        <w:rPr>
          <w:sz w:val="22"/>
          <w:szCs w:val="22"/>
        </w:rPr>
        <w:t xml:space="preserve"> Na ovo povećanje najviše je utjecalo povećano ulaganja u materijalnu imovinu – prirodna bogatstva u iznosu od 2.043.969,05 kn (zemljište kupljeno od Hoteli Tučepi d.d. za izgradnju sabirne sjeverne prometnice zone hotela Jadran), ulaganje u ceste i ostale prometne objekte u iznosu od 3.532.844,74 kn (</w:t>
      </w:r>
      <w:r w:rsidR="0086717B">
        <w:rPr>
          <w:sz w:val="22"/>
          <w:szCs w:val="22"/>
        </w:rPr>
        <w:t>u najvećem dijelu se odnosi na izgradnju sabirne sjeverne prometnice zone hotela Jadran</w:t>
      </w:r>
      <w:r w:rsidR="00A536E7">
        <w:rPr>
          <w:sz w:val="22"/>
          <w:szCs w:val="22"/>
        </w:rPr>
        <w:t xml:space="preserve">) i ulaganje u ostale građevinske objekte u iznosu od 5.651.772,76 kn (u najvećem dijelu se odnosi na uređenje obalnog pojasa od Marine do Gospina potoka). </w:t>
      </w:r>
      <w:r>
        <w:rPr>
          <w:sz w:val="22"/>
          <w:szCs w:val="22"/>
        </w:rPr>
        <w:t xml:space="preserve"> </w:t>
      </w:r>
    </w:p>
    <w:p w:rsidR="0009016D" w:rsidRDefault="0009016D" w:rsidP="0009016D">
      <w:pPr>
        <w:pStyle w:val="Default"/>
        <w:rPr>
          <w:sz w:val="22"/>
          <w:szCs w:val="22"/>
        </w:rPr>
      </w:pPr>
    </w:p>
    <w:p w:rsidR="001D51DC" w:rsidRDefault="0009016D" w:rsidP="0009016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Izdaci za financijsku imovinu i otplate zajmova </w:t>
      </w:r>
      <w:r w:rsidR="00B83C75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B83C75">
        <w:rPr>
          <w:sz w:val="22"/>
          <w:szCs w:val="22"/>
        </w:rPr>
        <w:t xml:space="preserve">U 2019.godini nije bili izdataka za financijsku imovinu i otplate zajmova. </w:t>
      </w:r>
    </w:p>
    <w:p w:rsidR="00363F21" w:rsidRDefault="00363F21" w:rsidP="0009016D">
      <w:pPr>
        <w:pStyle w:val="Default"/>
        <w:rPr>
          <w:sz w:val="22"/>
          <w:szCs w:val="22"/>
        </w:rPr>
      </w:pPr>
    </w:p>
    <w:p w:rsidR="0061030A" w:rsidRDefault="00363F21" w:rsidP="00363F2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POPIS MJERA ZA OTKLANJANJE UTVRĐENIH UZROKA NASTANKA NEGATIVNOG POSLOVANJA TE MJERA ZA STABILNO ODRŽIVO POSLOVANJE </w:t>
      </w:r>
    </w:p>
    <w:p w:rsidR="0061030A" w:rsidRDefault="0061030A" w:rsidP="00363F21">
      <w:pPr>
        <w:pStyle w:val="Default"/>
        <w:rPr>
          <w:b/>
          <w:bCs/>
          <w:sz w:val="22"/>
          <w:szCs w:val="22"/>
        </w:rPr>
      </w:pPr>
    </w:p>
    <w:p w:rsidR="0061030A" w:rsidRDefault="00363F21" w:rsidP="00551B4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U nastavku se daje popis mjera za otklanjanje utvrđenih uzroka nastanka negativnog poslovanja u prethodnim godinama na koje </w:t>
      </w:r>
      <w:r w:rsidR="00696F1D">
        <w:rPr>
          <w:sz w:val="22"/>
          <w:szCs w:val="22"/>
        </w:rPr>
        <w:t>Općina Tučepi</w:t>
      </w:r>
      <w:r>
        <w:rPr>
          <w:sz w:val="22"/>
          <w:szCs w:val="22"/>
        </w:rPr>
        <w:t xml:space="preserve"> može utjecati, te ujedno i popis mjera za stabilno održivo poslovanje: </w:t>
      </w:r>
    </w:p>
    <w:p w:rsidR="0061030A" w:rsidRDefault="0061030A" w:rsidP="00363F21">
      <w:pPr>
        <w:pStyle w:val="Default"/>
        <w:rPr>
          <w:sz w:val="22"/>
          <w:szCs w:val="22"/>
        </w:rPr>
      </w:pPr>
    </w:p>
    <w:p w:rsidR="0061030A" w:rsidRDefault="00363F21" w:rsidP="00551B4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1. Prioritetno planiranje i izvršavanje proračuna za zakonske i ugovorne obveze; </w:t>
      </w:r>
    </w:p>
    <w:p w:rsidR="0061030A" w:rsidRDefault="00363F21" w:rsidP="00551B4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2. Praćenje naplate prihoda i provođenje više mjera prisilne naplate; </w:t>
      </w:r>
    </w:p>
    <w:p w:rsidR="0061030A" w:rsidRDefault="00363F21" w:rsidP="00551B4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Povećanje financiranja proračunskih projekata i aktivnosti iz vanjskih izvora financiranja; </w:t>
      </w:r>
    </w:p>
    <w:p w:rsidR="00AF7B56" w:rsidRDefault="008C145E" w:rsidP="00551B4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4</w:t>
      </w:r>
      <w:r w:rsidR="00AF7B56">
        <w:rPr>
          <w:sz w:val="22"/>
          <w:szCs w:val="22"/>
        </w:rPr>
        <w:t xml:space="preserve">. Smanjenje materijalnih rashoda uz zadržavanje kvalitete rada i pružanja usluga građanima; </w:t>
      </w:r>
    </w:p>
    <w:p w:rsidR="00AF7B56" w:rsidRDefault="00AF7B56" w:rsidP="00AF7B56">
      <w:pPr>
        <w:pStyle w:val="Default"/>
        <w:rPr>
          <w:sz w:val="22"/>
          <w:szCs w:val="22"/>
        </w:rPr>
      </w:pPr>
    </w:p>
    <w:p w:rsidR="00AF7B56" w:rsidRPr="00560231" w:rsidRDefault="00BD7031" w:rsidP="00AF7B56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Ostvareni </w:t>
      </w:r>
      <w:r w:rsidR="00AF7B56">
        <w:rPr>
          <w:sz w:val="22"/>
          <w:szCs w:val="22"/>
        </w:rPr>
        <w:t xml:space="preserve">manjak prihoda prvenstveno je posljedica </w:t>
      </w:r>
      <w:r w:rsidR="00573840">
        <w:rPr>
          <w:sz w:val="22"/>
          <w:szCs w:val="22"/>
        </w:rPr>
        <w:t>činjenice da se jedan dio planiranih prihoda nije ostvario u 2019.godini</w:t>
      </w:r>
      <w:r w:rsidR="00895208">
        <w:rPr>
          <w:sz w:val="22"/>
          <w:szCs w:val="22"/>
        </w:rPr>
        <w:t>. Radi se o planiranim kapitalnim pomoćima iz državnog proračuna koji se temelje na potpisanim ugovorima sa Agencijom za plaćanja u poljoprivredi, ribarstvu i ruralnom razvoju</w:t>
      </w:r>
      <w:r w:rsidR="00573840">
        <w:rPr>
          <w:sz w:val="22"/>
          <w:szCs w:val="22"/>
        </w:rPr>
        <w:t xml:space="preserve"> (računi za izgradnju sabirne sjeverne prometnice zone hotela Jadran su zaprimljeni i proknjiženi a sredstva će se isplatiti u 2020.godini</w:t>
      </w:r>
      <w:r w:rsidR="007775FC">
        <w:rPr>
          <w:sz w:val="22"/>
          <w:szCs w:val="22"/>
        </w:rPr>
        <w:t xml:space="preserve"> nakon što se podmire svi računi koji su ispostavljeni za ovaj projekt </w:t>
      </w:r>
      <w:r w:rsidR="009E24F0">
        <w:rPr>
          <w:sz w:val="22"/>
          <w:szCs w:val="22"/>
        </w:rPr>
        <w:t>kao i</w:t>
      </w:r>
      <w:r w:rsidR="00573840">
        <w:rPr>
          <w:sz w:val="22"/>
          <w:szCs w:val="22"/>
        </w:rPr>
        <w:t xml:space="preserve"> sredstva za izradu </w:t>
      </w:r>
      <w:r w:rsidR="007775FC">
        <w:rPr>
          <w:sz w:val="22"/>
          <w:szCs w:val="22"/>
        </w:rPr>
        <w:t>S</w:t>
      </w:r>
      <w:r w:rsidR="00573840">
        <w:rPr>
          <w:sz w:val="22"/>
          <w:szCs w:val="22"/>
        </w:rPr>
        <w:t>trate</w:t>
      </w:r>
      <w:r w:rsidR="00814248">
        <w:rPr>
          <w:sz w:val="22"/>
          <w:szCs w:val="22"/>
        </w:rPr>
        <w:t xml:space="preserve">škog plana razvoja </w:t>
      </w:r>
      <w:r w:rsidR="00573840">
        <w:rPr>
          <w:sz w:val="22"/>
          <w:szCs w:val="22"/>
        </w:rPr>
        <w:t xml:space="preserve">turizma koja je završen i proknjižen </w:t>
      </w:r>
      <w:r w:rsidR="009E24F0">
        <w:rPr>
          <w:sz w:val="22"/>
          <w:szCs w:val="22"/>
        </w:rPr>
        <w:t>a</w:t>
      </w:r>
      <w:r w:rsidR="00573840">
        <w:rPr>
          <w:sz w:val="22"/>
          <w:szCs w:val="22"/>
        </w:rPr>
        <w:t xml:space="preserve"> isplatiti</w:t>
      </w:r>
      <w:r w:rsidR="009E24F0">
        <w:rPr>
          <w:sz w:val="22"/>
          <w:szCs w:val="22"/>
        </w:rPr>
        <w:t xml:space="preserve"> će </w:t>
      </w:r>
      <w:r w:rsidR="00D96A46">
        <w:rPr>
          <w:sz w:val="22"/>
          <w:szCs w:val="22"/>
        </w:rPr>
        <w:t xml:space="preserve">se nakon usvajanja Strateškog plana </w:t>
      </w:r>
      <w:r w:rsidR="00573840">
        <w:rPr>
          <w:sz w:val="22"/>
          <w:szCs w:val="22"/>
        </w:rPr>
        <w:t>od strane Općinskog vijeća u 2020.god</w:t>
      </w:r>
      <w:r w:rsidR="009E24F0">
        <w:rPr>
          <w:sz w:val="22"/>
          <w:szCs w:val="22"/>
        </w:rPr>
        <w:t>i</w:t>
      </w:r>
      <w:r w:rsidR="00573840">
        <w:rPr>
          <w:sz w:val="22"/>
          <w:szCs w:val="22"/>
        </w:rPr>
        <w:t>ni)</w:t>
      </w:r>
      <w:r w:rsidR="00DA6D47">
        <w:rPr>
          <w:sz w:val="22"/>
          <w:szCs w:val="22"/>
        </w:rPr>
        <w:t>. Na ostvareni manjak utjecalo je i znatno povećanje dijela planiranih rashoda u odnosu na prethodne godine (</w:t>
      </w:r>
      <w:r w:rsidR="00233F5F">
        <w:rPr>
          <w:sz w:val="22"/>
          <w:szCs w:val="22"/>
        </w:rPr>
        <w:t xml:space="preserve">ostale usluge tekućeg održavanja </w:t>
      </w:r>
      <w:r w:rsidR="00DA6D47">
        <w:rPr>
          <w:sz w:val="22"/>
          <w:szCs w:val="22"/>
        </w:rPr>
        <w:t xml:space="preserve">su </w:t>
      </w:r>
      <w:r w:rsidR="00233F5F">
        <w:rPr>
          <w:sz w:val="22"/>
          <w:szCs w:val="22"/>
        </w:rPr>
        <w:t>se znatno poveća</w:t>
      </w:r>
      <w:r w:rsidR="00DA6D47">
        <w:rPr>
          <w:sz w:val="22"/>
          <w:szCs w:val="22"/>
        </w:rPr>
        <w:t xml:space="preserve">le) kao i činjenica da se nije </w:t>
      </w:r>
      <w:r w:rsidR="00233F5F">
        <w:rPr>
          <w:sz w:val="22"/>
          <w:szCs w:val="22"/>
        </w:rPr>
        <w:t>uspjela povećati naplata prihoda u odnosu na prethodne godine</w:t>
      </w:r>
      <w:r w:rsidR="00AF7B56">
        <w:rPr>
          <w:sz w:val="22"/>
          <w:szCs w:val="22"/>
        </w:rPr>
        <w:t xml:space="preserve">. </w:t>
      </w:r>
    </w:p>
    <w:p w:rsidR="00AF7B56" w:rsidRDefault="00AF7B56" w:rsidP="00AF7B56">
      <w:pPr>
        <w:pStyle w:val="Default"/>
        <w:rPr>
          <w:sz w:val="22"/>
          <w:szCs w:val="22"/>
        </w:rPr>
      </w:pPr>
    </w:p>
    <w:p w:rsidR="00AF7B56" w:rsidRDefault="00AF7B56" w:rsidP="00AF7B56">
      <w:pPr>
        <w:pStyle w:val="Default"/>
        <w:rPr>
          <w:sz w:val="22"/>
          <w:szCs w:val="22"/>
        </w:rPr>
      </w:pPr>
    </w:p>
    <w:p w:rsidR="00AF7B56" w:rsidRDefault="00AF7B56" w:rsidP="00AF7B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AKCIJSKI PLAN PROVEDBE NAVEDENIH MJERA </w:t>
      </w:r>
      <w:r>
        <w:rPr>
          <w:sz w:val="22"/>
          <w:szCs w:val="22"/>
        </w:rPr>
        <w:t xml:space="preserve">U nastavku je tabelarni prikaz mjera, načina provedbe, rok provedbe, financijski učinak te naziv odgovorne osobe za provođenje mjera: </w:t>
      </w:r>
    </w:p>
    <w:p w:rsidR="001D51DC" w:rsidRDefault="001D51DC" w:rsidP="00AF7B56">
      <w:pPr>
        <w:pStyle w:val="Default"/>
        <w:rPr>
          <w:sz w:val="22"/>
          <w:szCs w:val="22"/>
        </w:rPr>
      </w:pPr>
    </w:p>
    <w:p w:rsidR="001D51DC" w:rsidRDefault="001D51DC" w:rsidP="00AF7B56">
      <w:pPr>
        <w:pStyle w:val="Default"/>
        <w:rPr>
          <w:sz w:val="22"/>
          <w:szCs w:val="22"/>
        </w:rPr>
      </w:pPr>
    </w:p>
    <w:p w:rsidR="001D51DC" w:rsidRDefault="001D51DC" w:rsidP="00AF7B56">
      <w:pPr>
        <w:pStyle w:val="Default"/>
        <w:rPr>
          <w:sz w:val="22"/>
          <w:szCs w:val="22"/>
        </w:rPr>
      </w:pPr>
    </w:p>
    <w:p w:rsidR="00363F21" w:rsidRDefault="00363F21" w:rsidP="0009016D">
      <w:pPr>
        <w:pStyle w:val="Default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2"/>
        <w:gridCol w:w="3106"/>
        <w:gridCol w:w="1345"/>
        <w:gridCol w:w="1646"/>
        <w:gridCol w:w="2010"/>
      </w:tblGrid>
      <w:tr w:rsidR="00874FCF" w:rsidTr="00085AD5">
        <w:trPr>
          <w:trHeight w:val="463"/>
        </w:trPr>
        <w:tc>
          <w:tcPr>
            <w:tcW w:w="1992" w:type="dxa"/>
          </w:tcPr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NAZ</w:t>
            </w:r>
            <w:r w:rsidR="00FE2EBE" w:rsidRPr="000E1BCB">
              <w:rPr>
                <w:sz w:val="20"/>
                <w:szCs w:val="20"/>
              </w:rPr>
              <w:t>I</w:t>
            </w:r>
            <w:r w:rsidRPr="000E1BCB">
              <w:rPr>
                <w:sz w:val="20"/>
                <w:szCs w:val="20"/>
              </w:rPr>
              <w:t>V MJERE</w:t>
            </w:r>
          </w:p>
        </w:tc>
        <w:tc>
          <w:tcPr>
            <w:tcW w:w="3106" w:type="dxa"/>
          </w:tcPr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NAČIN PROVEDBE</w:t>
            </w:r>
          </w:p>
        </w:tc>
        <w:tc>
          <w:tcPr>
            <w:tcW w:w="1345" w:type="dxa"/>
          </w:tcPr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ROK PROVEDBE</w:t>
            </w:r>
          </w:p>
        </w:tc>
        <w:tc>
          <w:tcPr>
            <w:tcW w:w="1646" w:type="dxa"/>
          </w:tcPr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TROGODIŠNJI FINANCIJSKI UČINAK</w:t>
            </w:r>
          </w:p>
        </w:tc>
        <w:tc>
          <w:tcPr>
            <w:tcW w:w="2010" w:type="dxa"/>
          </w:tcPr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ODGOVORNA OSOBA</w:t>
            </w:r>
          </w:p>
        </w:tc>
      </w:tr>
      <w:tr w:rsidR="00874FCF" w:rsidTr="00085AD5">
        <w:trPr>
          <w:trHeight w:val="554"/>
        </w:trPr>
        <w:tc>
          <w:tcPr>
            <w:tcW w:w="1992" w:type="dxa"/>
          </w:tcPr>
          <w:p w:rsidR="00FE2EBE" w:rsidRPr="000E1BCB" w:rsidRDefault="00FE2EBE" w:rsidP="00FE2EB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Prioritetno planiranje i izvršavanje proračuna za zakonske i ugovorne </w:t>
            </w:r>
          </w:p>
          <w:p w:rsidR="00874FCF" w:rsidRPr="000E1BCB" w:rsidRDefault="00FE2EBE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obveze</w:t>
            </w:r>
          </w:p>
        </w:tc>
        <w:tc>
          <w:tcPr>
            <w:tcW w:w="3106" w:type="dxa"/>
          </w:tcPr>
          <w:p w:rsidR="00FE2EBE" w:rsidRPr="000E1BCB" w:rsidRDefault="00FE2EBE" w:rsidP="00FE2EB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Mjera podrazumijeva prioritetno podmirivanje već ugovorenih obveza, odnosno zakonskih obveza </w:t>
            </w:r>
          </w:p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74FCF" w:rsidRPr="000E1BCB" w:rsidRDefault="00467CB3" w:rsidP="0009016D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31.12.202</w:t>
            </w:r>
            <w:r w:rsidR="009748F1">
              <w:rPr>
                <w:sz w:val="20"/>
                <w:szCs w:val="20"/>
              </w:rPr>
              <w:t>3</w:t>
            </w:r>
            <w:r w:rsidRPr="000E1BCB">
              <w:rPr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C02191" w:rsidRPr="000E1BCB" w:rsidRDefault="008C145E" w:rsidP="00C021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D4C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8562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</w:t>
            </w:r>
            <w:r w:rsidR="00C02191" w:rsidRPr="000E1BC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 kn</w:t>
            </w:r>
            <w:r w:rsidR="00C02191" w:rsidRPr="000E1BCB">
              <w:rPr>
                <w:sz w:val="20"/>
                <w:szCs w:val="20"/>
              </w:rPr>
              <w:t xml:space="preserve"> </w:t>
            </w:r>
          </w:p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C02191" w:rsidRPr="000E1BCB" w:rsidRDefault="009D4C02" w:rsidP="00C021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odsjeka za proračun i financije</w:t>
            </w:r>
            <w:r w:rsidR="00C02191" w:rsidRPr="000E1BCB">
              <w:rPr>
                <w:sz w:val="20"/>
                <w:szCs w:val="20"/>
              </w:rPr>
              <w:t xml:space="preserve"> </w:t>
            </w:r>
          </w:p>
          <w:p w:rsidR="00874FCF" w:rsidRPr="000E1BCB" w:rsidRDefault="00874FCF" w:rsidP="0009016D">
            <w:pPr>
              <w:pStyle w:val="Default"/>
              <w:rPr>
                <w:sz w:val="20"/>
                <w:szCs w:val="20"/>
              </w:rPr>
            </w:pPr>
          </w:p>
        </w:tc>
      </w:tr>
      <w:tr w:rsidR="008C145E" w:rsidTr="00085AD5">
        <w:trPr>
          <w:trHeight w:val="567"/>
        </w:trPr>
        <w:tc>
          <w:tcPr>
            <w:tcW w:w="1992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Praćenje naplate prihoda i provođenje više mjera prisilne naplate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Postupanje prema važećem Pravilniku o postupcima naplate potraživanja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31.12.202</w:t>
            </w:r>
            <w:r w:rsidR="009748F1">
              <w:rPr>
                <w:sz w:val="20"/>
                <w:szCs w:val="20"/>
              </w:rPr>
              <w:t>3</w:t>
            </w:r>
            <w:r w:rsidRPr="000E1BCB">
              <w:rPr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8C145E" w:rsidRPr="000E1BCB" w:rsidRDefault="008562FB" w:rsidP="008C14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8C145E">
              <w:rPr>
                <w:sz w:val="20"/>
                <w:szCs w:val="20"/>
              </w:rPr>
              <w:t>00.000,00 kn</w:t>
            </w:r>
            <w:r w:rsidR="008C145E" w:rsidRPr="000E1BCB">
              <w:rPr>
                <w:sz w:val="20"/>
                <w:szCs w:val="20"/>
              </w:rPr>
              <w:t xml:space="preserve">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9D4C02" w:rsidRPr="000E1BCB" w:rsidRDefault="009D4C02" w:rsidP="009D4C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odsjeka za proračun i financije</w:t>
            </w:r>
            <w:r w:rsidRPr="000E1BCB">
              <w:rPr>
                <w:sz w:val="20"/>
                <w:szCs w:val="20"/>
              </w:rPr>
              <w:t xml:space="preserve">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</w:tr>
      <w:tr w:rsidR="008C145E" w:rsidTr="00085AD5">
        <w:trPr>
          <w:trHeight w:val="533"/>
        </w:trPr>
        <w:tc>
          <w:tcPr>
            <w:tcW w:w="1992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Povećanje financiranja proračunskih projekata i aktivnosti iz vanjskih izvora financiranja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Veća orijentiranost na EU i nacionalne izvore financiranja apliciranjem projekata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31.12.202</w:t>
            </w:r>
            <w:r w:rsidR="009748F1">
              <w:rPr>
                <w:sz w:val="20"/>
                <w:szCs w:val="20"/>
              </w:rPr>
              <w:t>3</w:t>
            </w:r>
            <w:r w:rsidRPr="000E1BCB">
              <w:rPr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8C145E" w:rsidRPr="000E1BCB" w:rsidRDefault="008562FB" w:rsidP="008C14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8C145E">
              <w:rPr>
                <w:sz w:val="20"/>
                <w:szCs w:val="20"/>
              </w:rPr>
              <w:t>00.000,00 kn</w:t>
            </w:r>
          </w:p>
        </w:tc>
        <w:tc>
          <w:tcPr>
            <w:tcW w:w="2010" w:type="dxa"/>
          </w:tcPr>
          <w:p w:rsidR="009D4C02" w:rsidRPr="000E1BCB" w:rsidRDefault="009D4C02" w:rsidP="009D4C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odsjeka za proračun i financije</w:t>
            </w:r>
            <w:r w:rsidRPr="000E1BCB">
              <w:rPr>
                <w:sz w:val="20"/>
                <w:szCs w:val="20"/>
              </w:rPr>
              <w:t xml:space="preserve">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</w:tr>
      <w:tr w:rsidR="008C145E" w:rsidTr="00085AD5">
        <w:trPr>
          <w:trHeight w:val="558"/>
        </w:trPr>
        <w:tc>
          <w:tcPr>
            <w:tcW w:w="1992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Smanjenje materijalnih rashoda uz zadržavanje kvalitete rada i pružanja usluga građanima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 xml:space="preserve">Maksimalna racionalizacija materijalnih rashoda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  <w:r w:rsidRPr="000E1BCB">
              <w:rPr>
                <w:sz w:val="20"/>
                <w:szCs w:val="20"/>
              </w:rPr>
              <w:t>31.12.202</w:t>
            </w:r>
            <w:r w:rsidR="009748F1">
              <w:rPr>
                <w:sz w:val="20"/>
                <w:szCs w:val="20"/>
              </w:rPr>
              <w:t>3</w:t>
            </w:r>
            <w:r w:rsidRPr="000E1BCB">
              <w:rPr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8C145E" w:rsidRPr="000E1BCB" w:rsidRDefault="008562FB" w:rsidP="008C14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145E">
              <w:rPr>
                <w:sz w:val="20"/>
                <w:szCs w:val="20"/>
              </w:rPr>
              <w:t>00.000,00 kn</w:t>
            </w:r>
          </w:p>
        </w:tc>
        <w:tc>
          <w:tcPr>
            <w:tcW w:w="2010" w:type="dxa"/>
          </w:tcPr>
          <w:p w:rsidR="009D4C02" w:rsidRPr="000E1BCB" w:rsidRDefault="009D4C02" w:rsidP="009D4C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odsjeka za proračun i financije</w:t>
            </w:r>
            <w:r w:rsidRPr="000E1BCB">
              <w:rPr>
                <w:sz w:val="20"/>
                <w:szCs w:val="20"/>
              </w:rPr>
              <w:t xml:space="preserve"> </w:t>
            </w:r>
          </w:p>
          <w:p w:rsidR="008C145E" w:rsidRPr="000E1BCB" w:rsidRDefault="008C145E" w:rsidP="008C145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15016" w:rsidRDefault="00415016" w:rsidP="0009016D">
      <w:pPr>
        <w:pStyle w:val="Default"/>
        <w:rPr>
          <w:sz w:val="22"/>
          <w:szCs w:val="22"/>
        </w:rPr>
      </w:pPr>
    </w:p>
    <w:p w:rsidR="00415016" w:rsidRDefault="00415016" w:rsidP="0009016D">
      <w:pPr>
        <w:pStyle w:val="Default"/>
        <w:rPr>
          <w:sz w:val="22"/>
          <w:szCs w:val="22"/>
        </w:rPr>
      </w:pPr>
    </w:p>
    <w:p w:rsidR="00415016" w:rsidRDefault="00415016" w:rsidP="0041501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Planirani financijski učinak predloženih mjera je suficit proračuna u razdoblju od 202</w:t>
      </w:r>
      <w:r w:rsidR="009748F1">
        <w:rPr>
          <w:sz w:val="22"/>
          <w:szCs w:val="22"/>
        </w:rPr>
        <w:t>1</w:t>
      </w:r>
      <w:r>
        <w:rPr>
          <w:sz w:val="22"/>
          <w:szCs w:val="22"/>
        </w:rPr>
        <w:t>.-202</w:t>
      </w:r>
      <w:r w:rsidR="009748F1">
        <w:rPr>
          <w:sz w:val="22"/>
          <w:szCs w:val="22"/>
        </w:rPr>
        <w:t>3</w:t>
      </w:r>
      <w:r>
        <w:rPr>
          <w:sz w:val="22"/>
          <w:szCs w:val="22"/>
        </w:rPr>
        <w:t>. godine, odnosno sukcesivno pokriće planiranog manjka prihoda i primitaka u navedenom razdoblju</w:t>
      </w:r>
      <w:r w:rsidR="00BD70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15016" w:rsidRDefault="00415016" w:rsidP="0009016D">
      <w:pPr>
        <w:pStyle w:val="Default"/>
        <w:rPr>
          <w:sz w:val="22"/>
          <w:szCs w:val="22"/>
        </w:rPr>
      </w:pPr>
    </w:p>
    <w:p w:rsidR="00AF7B56" w:rsidRDefault="00AF7B56" w:rsidP="0009016D">
      <w:pPr>
        <w:pStyle w:val="Default"/>
        <w:rPr>
          <w:sz w:val="22"/>
          <w:szCs w:val="22"/>
        </w:rPr>
      </w:pPr>
    </w:p>
    <w:p w:rsidR="005D1A93" w:rsidRDefault="005D1A93" w:rsidP="0009016D">
      <w:pPr>
        <w:pStyle w:val="Default"/>
        <w:rPr>
          <w:sz w:val="22"/>
          <w:szCs w:val="22"/>
        </w:rPr>
      </w:pPr>
    </w:p>
    <w:p w:rsidR="0009016D" w:rsidRDefault="0009016D" w:rsidP="0009016D">
      <w:pPr>
        <w:pStyle w:val="Default"/>
        <w:rPr>
          <w:sz w:val="22"/>
          <w:szCs w:val="22"/>
        </w:rPr>
      </w:pPr>
    </w:p>
    <w:p w:rsidR="0009016D" w:rsidRDefault="0009016D" w:rsidP="008973D1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BE057A">
      <w:pPr>
        <w:pStyle w:val="Default"/>
        <w:rPr>
          <w:sz w:val="22"/>
          <w:szCs w:val="22"/>
        </w:rPr>
      </w:pPr>
    </w:p>
    <w:p w:rsidR="00BE057A" w:rsidRDefault="00BE057A" w:rsidP="003F237D">
      <w:pPr>
        <w:pStyle w:val="Default"/>
        <w:rPr>
          <w:sz w:val="22"/>
          <w:szCs w:val="22"/>
        </w:rPr>
      </w:pPr>
    </w:p>
    <w:p w:rsidR="00E57EE2" w:rsidRDefault="00E57EE2"/>
    <w:p w:rsidR="003F237D" w:rsidRDefault="003F237D"/>
    <w:sectPr w:rsidR="003F237D" w:rsidSect="00D44E52">
      <w:pgSz w:w="11905" w:h="17337"/>
      <w:pgMar w:top="1512" w:right="787" w:bottom="859" w:left="10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7D"/>
    <w:rsid w:val="0000506C"/>
    <w:rsid w:val="000544AA"/>
    <w:rsid w:val="0006706B"/>
    <w:rsid w:val="00074F0D"/>
    <w:rsid w:val="00085AD5"/>
    <w:rsid w:val="0009016D"/>
    <w:rsid w:val="000B0297"/>
    <w:rsid w:val="000B7826"/>
    <w:rsid w:val="000B7B70"/>
    <w:rsid w:val="000C1A03"/>
    <w:rsid w:val="000D18F8"/>
    <w:rsid w:val="000E1BCB"/>
    <w:rsid w:val="000F6A9C"/>
    <w:rsid w:val="001175A2"/>
    <w:rsid w:val="001A522C"/>
    <w:rsid w:val="001B2CD5"/>
    <w:rsid w:val="001B5BB2"/>
    <w:rsid w:val="001C2A8E"/>
    <w:rsid w:val="001C46CE"/>
    <w:rsid w:val="001D51DC"/>
    <w:rsid w:val="001E38B9"/>
    <w:rsid w:val="001E511D"/>
    <w:rsid w:val="001F0BC9"/>
    <w:rsid w:val="001F2944"/>
    <w:rsid w:val="001F61B9"/>
    <w:rsid w:val="0021631A"/>
    <w:rsid w:val="00216AEE"/>
    <w:rsid w:val="00227626"/>
    <w:rsid w:val="00233F5F"/>
    <w:rsid w:val="002A6FE9"/>
    <w:rsid w:val="002B53EE"/>
    <w:rsid w:val="002D1134"/>
    <w:rsid w:val="002D1DB5"/>
    <w:rsid w:val="002F13C5"/>
    <w:rsid w:val="002F36E7"/>
    <w:rsid w:val="003065B2"/>
    <w:rsid w:val="00331532"/>
    <w:rsid w:val="00354CA6"/>
    <w:rsid w:val="003607D9"/>
    <w:rsid w:val="00363F21"/>
    <w:rsid w:val="00393BD7"/>
    <w:rsid w:val="00394EDA"/>
    <w:rsid w:val="003B494B"/>
    <w:rsid w:val="003C3DF6"/>
    <w:rsid w:val="003D4464"/>
    <w:rsid w:val="003F1104"/>
    <w:rsid w:val="003F237D"/>
    <w:rsid w:val="004046CB"/>
    <w:rsid w:val="00415016"/>
    <w:rsid w:val="00420AAB"/>
    <w:rsid w:val="00467CB3"/>
    <w:rsid w:val="00477285"/>
    <w:rsid w:val="0049464E"/>
    <w:rsid w:val="00495BD3"/>
    <w:rsid w:val="004A4175"/>
    <w:rsid w:val="004E2233"/>
    <w:rsid w:val="004E5391"/>
    <w:rsid w:val="004F490D"/>
    <w:rsid w:val="00503FB6"/>
    <w:rsid w:val="00520FA7"/>
    <w:rsid w:val="00531973"/>
    <w:rsid w:val="005354E8"/>
    <w:rsid w:val="00551B48"/>
    <w:rsid w:val="00560231"/>
    <w:rsid w:val="00573840"/>
    <w:rsid w:val="00581EBE"/>
    <w:rsid w:val="005B1E7A"/>
    <w:rsid w:val="005C526D"/>
    <w:rsid w:val="005D1A93"/>
    <w:rsid w:val="005D2852"/>
    <w:rsid w:val="005D41D2"/>
    <w:rsid w:val="005E39B2"/>
    <w:rsid w:val="005E50E8"/>
    <w:rsid w:val="0061030A"/>
    <w:rsid w:val="00644CAA"/>
    <w:rsid w:val="006624A7"/>
    <w:rsid w:val="00681936"/>
    <w:rsid w:val="00696F1D"/>
    <w:rsid w:val="006A5725"/>
    <w:rsid w:val="006B6997"/>
    <w:rsid w:val="006B7B14"/>
    <w:rsid w:val="006C21A2"/>
    <w:rsid w:val="006E0677"/>
    <w:rsid w:val="006E3DB9"/>
    <w:rsid w:val="00700D12"/>
    <w:rsid w:val="007703F0"/>
    <w:rsid w:val="007775FC"/>
    <w:rsid w:val="00794AAC"/>
    <w:rsid w:val="007A7CCF"/>
    <w:rsid w:val="007B21A7"/>
    <w:rsid w:val="007B673A"/>
    <w:rsid w:val="007C328C"/>
    <w:rsid w:val="007E125F"/>
    <w:rsid w:val="007E1DE3"/>
    <w:rsid w:val="007E6D2F"/>
    <w:rsid w:val="007F4F76"/>
    <w:rsid w:val="00814248"/>
    <w:rsid w:val="00832187"/>
    <w:rsid w:val="008347EA"/>
    <w:rsid w:val="00840BE6"/>
    <w:rsid w:val="008562FB"/>
    <w:rsid w:val="008576E9"/>
    <w:rsid w:val="008602C7"/>
    <w:rsid w:val="0086717B"/>
    <w:rsid w:val="00873124"/>
    <w:rsid w:val="00873CEF"/>
    <w:rsid w:val="00874FCF"/>
    <w:rsid w:val="00895208"/>
    <w:rsid w:val="008973D1"/>
    <w:rsid w:val="008C145E"/>
    <w:rsid w:val="008D3F64"/>
    <w:rsid w:val="009114B9"/>
    <w:rsid w:val="00926EA5"/>
    <w:rsid w:val="009545DD"/>
    <w:rsid w:val="009562D0"/>
    <w:rsid w:val="00956698"/>
    <w:rsid w:val="00962A14"/>
    <w:rsid w:val="0096445B"/>
    <w:rsid w:val="009748F1"/>
    <w:rsid w:val="009951CA"/>
    <w:rsid w:val="00996010"/>
    <w:rsid w:val="009B1147"/>
    <w:rsid w:val="009C2F0E"/>
    <w:rsid w:val="009D33AA"/>
    <w:rsid w:val="009D4C02"/>
    <w:rsid w:val="009D6E96"/>
    <w:rsid w:val="009E24F0"/>
    <w:rsid w:val="009F6486"/>
    <w:rsid w:val="00A43367"/>
    <w:rsid w:val="00A536E7"/>
    <w:rsid w:val="00A83B53"/>
    <w:rsid w:val="00AF7B56"/>
    <w:rsid w:val="00B109D0"/>
    <w:rsid w:val="00B2117B"/>
    <w:rsid w:val="00B24709"/>
    <w:rsid w:val="00B2611B"/>
    <w:rsid w:val="00B539AE"/>
    <w:rsid w:val="00B83C75"/>
    <w:rsid w:val="00BB08D0"/>
    <w:rsid w:val="00BC1B8A"/>
    <w:rsid w:val="00BC4829"/>
    <w:rsid w:val="00BD7031"/>
    <w:rsid w:val="00BE057A"/>
    <w:rsid w:val="00BE6F35"/>
    <w:rsid w:val="00BF2FA1"/>
    <w:rsid w:val="00BF79EC"/>
    <w:rsid w:val="00C02191"/>
    <w:rsid w:val="00C06984"/>
    <w:rsid w:val="00C16CC5"/>
    <w:rsid w:val="00C27CB4"/>
    <w:rsid w:val="00C62E96"/>
    <w:rsid w:val="00C81874"/>
    <w:rsid w:val="00C86728"/>
    <w:rsid w:val="00C97C4A"/>
    <w:rsid w:val="00CA1BA2"/>
    <w:rsid w:val="00CB2046"/>
    <w:rsid w:val="00CD1AED"/>
    <w:rsid w:val="00CD410E"/>
    <w:rsid w:val="00CE1F04"/>
    <w:rsid w:val="00CF0385"/>
    <w:rsid w:val="00CF7A1C"/>
    <w:rsid w:val="00D23D01"/>
    <w:rsid w:val="00D23DA4"/>
    <w:rsid w:val="00D622EA"/>
    <w:rsid w:val="00D81925"/>
    <w:rsid w:val="00D854CF"/>
    <w:rsid w:val="00D96A46"/>
    <w:rsid w:val="00DA4D9D"/>
    <w:rsid w:val="00DA6D47"/>
    <w:rsid w:val="00DB08D2"/>
    <w:rsid w:val="00DC059A"/>
    <w:rsid w:val="00DC3B6C"/>
    <w:rsid w:val="00DD21B3"/>
    <w:rsid w:val="00DD3258"/>
    <w:rsid w:val="00DE46E6"/>
    <w:rsid w:val="00DE5234"/>
    <w:rsid w:val="00E244A3"/>
    <w:rsid w:val="00E27654"/>
    <w:rsid w:val="00E32CB4"/>
    <w:rsid w:val="00E4282A"/>
    <w:rsid w:val="00E53453"/>
    <w:rsid w:val="00E57EE2"/>
    <w:rsid w:val="00E6342B"/>
    <w:rsid w:val="00E7631C"/>
    <w:rsid w:val="00E83EA2"/>
    <w:rsid w:val="00F17D00"/>
    <w:rsid w:val="00F34A59"/>
    <w:rsid w:val="00F42228"/>
    <w:rsid w:val="00F44D9B"/>
    <w:rsid w:val="00F55D03"/>
    <w:rsid w:val="00F7472C"/>
    <w:rsid w:val="00F926B5"/>
    <w:rsid w:val="00FA372F"/>
    <w:rsid w:val="00FC35D3"/>
    <w:rsid w:val="00FC69A1"/>
    <w:rsid w:val="00FD10D0"/>
    <w:rsid w:val="00FE1C64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31F9"/>
  <w15:chartTrackingRefBased/>
  <w15:docId w15:val="{9F3D972E-24E9-4E5B-AC5E-68BB8A1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2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87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E2A7-2BB5-4B9F-96DB-F86FA96B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Vjekoslav Šimić</cp:lastModifiedBy>
  <cp:revision>200</cp:revision>
  <dcterms:created xsi:type="dcterms:W3CDTF">2020-05-11T12:14:00Z</dcterms:created>
  <dcterms:modified xsi:type="dcterms:W3CDTF">2020-12-29T12:23:00Z</dcterms:modified>
</cp:coreProperties>
</file>