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EE" w:rsidRPr="00CC7677" w:rsidRDefault="0021631A" w:rsidP="00F14503">
      <w:pPr>
        <w:spacing w:line="276" w:lineRule="auto"/>
        <w:ind w:right="-97" w:firstLine="426"/>
        <w:jc w:val="both"/>
        <w:rPr>
          <w:rFonts w:eastAsia="Calibri"/>
          <w:sz w:val="24"/>
          <w:szCs w:val="24"/>
        </w:rPr>
      </w:pPr>
      <w:r w:rsidRPr="00CC7677">
        <w:rPr>
          <w:rFonts w:eastAsia="Calibri"/>
          <w:sz w:val="24"/>
          <w:szCs w:val="24"/>
        </w:rPr>
        <w:t xml:space="preserve">Na temelju članka 32. Statuta </w:t>
      </w:r>
      <w:r>
        <w:rPr>
          <w:rFonts w:eastAsia="Calibri"/>
          <w:sz w:val="24"/>
          <w:szCs w:val="24"/>
        </w:rPr>
        <w:t>Općine Tučepi</w:t>
      </w:r>
      <w:r w:rsidRPr="00CC7677">
        <w:rPr>
          <w:rFonts w:eastAsia="Calibri"/>
          <w:sz w:val="24"/>
          <w:szCs w:val="24"/>
        </w:rPr>
        <w:t xml:space="preserve"> ("</w:t>
      </w:r>
      <w:r>
        <w:rPr>
          <w:rFonts w:eastAsia="Calibri"/>
          <w:sz w:val="24"/>
          <w:szCs w:val="24"/>
        </w:rPr>
        <w:t>G</w:t>
      </w:r>
      <w:r w:rsidRPr="00CC7677">
        <w:rPr>
          <w:rFonts w:eastAsia="Calibri"/>
          <w:sz w:val="24"/>
          <w:szCs w:val="24"/>
        </w:rPr>
        <w:t xml:space="preserve">lasnik </w:t>
      </w:r>
      <w:r>
        <w:rPr>
          <w:rFonts w:eastAsia="Calibri"/>
          <w:sz w:val="24"/>
          <w:szCs w:val="24"/>
        </w:rPr>
        <w:t>Općine Tučepi</w:t>
      </w:r>
      <w:r w:rsidRPr="00CC7677">
        <w:rPr>
          <w:rFonts w:eastAsia="Calibri"/>
          <w:sz w:val="24"/>
          <w:szCs w:val="24"/>
        </w:rPr>
        <w:t>" br.</w:t>
      </w:r>
      <w:r w:rsidRPr="00CC7677">
        <w:rPr>
          <w:rFonts w:ascii="Calibri" w:eastAsia="Calibri" w:hAnsi="Calibri"/>
          <w:szCs w:val="24"/>
        </w:rPr>
        <w:t xml:space="preserve"> </w:t>
      </w:r>
      <w:r>
        <w:rPr>
          <w:rFonts w:eastAsia="Calibri"/>
          <w:sz w:val="24"/>
          <w:szCs w:val="24"/>
        </w:rPr>
        <w:t>04/09 i</w:t>
      </w:r>
      <w:r w:rsidRPr="00CC767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01</w:t>
      </w:r>
      <w:r w:rsidRPr="00CC7677">
        <w:rPr>
          <w:rFonts w:eastAsia="Calibri"/>
          <w:sz w:val="24"/>
          <w:szCs w:val="24"/>
        </w:rPr>
        <w:t>/13)</w:t>
      </w:r>
      <w:r w:rsidR="00216AEE" w:rsidRPr="00CC7677">
        <w:rPr>
          <w:rFonts w:eastAsia="Calibri"/>
          <w:sz w:val="24"/>
          <w:szCs w:val="24"/>
        </w:rPr>
        <w:t xml:space="preserve">, a u svezi Uputa za izradu proračuna jedinica lokalne i područne (regionalne) samouprave za razdoblje 2018. - 2020. (Ministarstvo financija, kolovoz 2017.), </w:t>
      </w:r>
      <w:r w:rsidR="004E2233">
        <w:rPr>
          <w:rFonts w:eastAsia="Calibri"/>
          <w:sz w:val="24"/>
          <w:szCs w:val="24"/>
        </w:rPr>
        <w:t xml:space="preserve">Općinsko </w:t>
      </w:r>
      <w:r w:rsidR="00216AEE" w:rsidRPr="00CC7677">
        <w:rPr>
          <w:rFonts w:eastAsia="Calibri"/>
          <w:sz w:val="24"/>
          <w:szCs w:val="24"/>
        </w:rPr>
        <w:t xml:space="preserve"> vijeće </w:t>
      </w:r>
      <w:r w:rsidR="004E2233">
        <w:rPr>
          <w:rFonts w:eastAsia="Calibri"/>
          <w:sz w:val="24"/>
          <w:szCs w:val="24"/>
        </w:rPr>
        <w:t>Općine Tučepi</w:t>
      </w:r>
      <w:r w:rsidR="00216AEE" w:rsidRPr="00CC7677">
        <w:rPr>
          <w:rFonts w:eastAsia="Calibri"/>
          <w:sz w:val="24"/>
          <w:szCs w:val="24"/>
        </w:rPr>
        <w:t xml:space="preserve"> na sjednici održanoj </w:t>
      </w:r>
      <w:r w:rsidR="00582257">
        <w:rPr>
          <w:rFonts w:eastAsia="Calibri"/>
          <w:sz w:val="24"/>
          <w:szCs w:val="24"/>
        </w:rPr>
        <w:t>28</w:t>
      </w:r>
      <w:r w:rsidR="00216AEE">
        <w:rPr>
          <w:rFonts w:eastAsia="Calibri"/>
          <w:sz w:val="24"/>
          <w:szCs w:val="24"/>
        </w:rPr>
        <w:t>.</w:t>
      </w:r>
      <w:r w:rsidR="00216AEE" w:rsidRPr="00CC7677">
        <w:rPr>
          <w:rFonts w:eastAsia="Calibri"/>
          <w:sz w:val="24"/>
          <w:szCs w:val="24"/>
        </w:rPr>
        <w:t xml:space="preserve"> prosinca 20</w:t>
      </w:r>
      <w:r w:rsidR="004E2233">
        <w:rPr>
          <w:rFonts w:eastAsia="Calibri"/>
          <w:sz w:val="24"/>
          <w:szCs w:val="24"/>
        </w:rPr>
        <w:t>2</w:t>
      </w:r>
      <w:r w:rsidR="00F6665E">
        <w:rPr>
          <w:rFonts w:eastAsia="Calibri"/>
          <w:sz w:val="24"/>
          <w:szCs w:val="24"/>
        </w:rPr>
        <w:t>1</w:t>
      </w:r>
      <w:r w:rsidR="00216AEE" w:rsidRPr="00CC7677">
        <w:rPr>
          <w:rFonts w:eastAsia="Calibri"/>
          <w:sz w:val="24"/>
          <w:szCs w:val="24"/>
        </w:rPr>
        <w:t>. godine donosi</w:t>
      </w:r>
    </w:p>
    <w:p w:rsidR="00216AEE" w:rsidRPr="00CC7677" w:rsidRDefault="00216AEE" w:rsidP="00216AEE">
      <w:pPr>
        <w:spacing w:line="276" w:lineRule="auto"/>
        <w:rPr>
          <w:rFonts w:eastAsia="Calibri"/>
          <w:sz w:val="24"/>
          <w:szCs w:val="24"/>
        </w:rPr>
      </w:pPr>
    </w:p>
    <w:p w:rsidR="00216AEE" w:rsidRPr="00CC7677" w:rsidRDefault="00216AEE" w:rsidP="00216AEE">
      <w:pPr>
        <w:jc w:val="both"/>
        <w:rPr>
          <w:rFonts w:eastAsia="Calibri"/>
          <w:sz w:val="24"/>
          <w:szCs w:val="24"/>
        </w:rPr>
      </w:pPr>
    </w:p>
    <w:p w:rsidR="00216AEE" w:rsidRDefault="00216AEE" w:rsidP="00216AEE">
      <w:pPr>
        <w:jc w:val="center"/>
        <w:rPr>
          <w:rFonts w:eastAsia="Calibri"/>
          <w:b/>
          <w:sz w:val="28"/>
          <w:szCs w:val="28"/>
        </w:rPr>
      </w:pPr>
    </w:p>
    <w:p w:rsidR="00216AEE" w:rsidRDefault="00216AEE" w:rsidP="00216AEE">
      <w:pPr>
        <w:jc w:val="center"/>
        <w:rPr>
          <w:rFonts w:eastAsia="Calibri"/>
          <w:b/>
          <w:sz w:val="28"/>
          <w:szCs w:val="28"/>
        </w:rPr>
      </w:pPr>
      <w:r w:rsidRPr="00CC7677">
        <w:rPr>
          <w:rFonts w:eastAsia="Calibri"/>
          <w:b/>
          <w:sz w:val="28"/>
          <w:szCs w:val="28"/>
        </w:rPr>
        <w:t>ODLUKU</w:t>
      </w:r>
    </w:p>
    <w:p w:rsidR="00216AEE" w:rsidRPr="00CC7677" w:rsidRDefault="00216AEE" w:rsidP="00216AE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o usvajanju plana sukcesivnog pokrića manjka</w:t>
      </w:r>
    </w:p>
    <w:p w:rsidR="00216AEE" w:rsidRPr="00CC7677" w:rsidRDefault="00216AEE" w:rsidP="00216AEE">
      <w:pPr>
        <w:jc w:val="both"/>
        <w:rPr>
          <w:rFonts w:eastAsia="Calibri"/>
          <w:sz w:val="24"/>
          <w:szCs w:val="24"/>
        </w:rPr>
      </w:pPr>
    </w:p>
    <w:p w:rsidR="00216AEE" w:rsidRPr="00CC7677" w:rsidRDefault="00216AEE" w:rsidP="00216AEE">
      <w:pPr>
        <w:jc w:val="both"/>
        <w:rPr>
          <w:rFonts w:eastAsia="Calibri"/>
          <w:sz w:val="24"/>
          <w:szCs w:val="24"/>
        </w:rPr>
      </w:pPr>
    </w:p>
    <w:p w:rsidR="00216AEE" w:rsidRPr="00CC7677" w:rsidRDefault="00216AEE" w:rsidP="00216AEE">
      <w:pPr>
        <w:jc w:val="center"/>
        <w:rPr>
          <w:rFonts w:eastAsia="Calibri"/>
          <w:b/>
          <w:sz w:val="24"/>
          <w:szCs w:val="24"/>
        </w:rPr>
      </w:pPr>
      <w:r w:rsidRPr="00CC7677">
        <w:rPr>
          <w:rFonts w:eastAsia="Calibri"/>
          <w:b/>
          <w:sz w:val="24"/>
          <w:szCs w:val="24"/>
        </w:rPr>
        <w:t>I.</w:t>
      </w:r>
    </w:p>
    <w:p w:rsidR="00216AEE" w:rsidRPr="00CC7677" w:rsidRDefault="00216AEE" w:rsidP="00216AEE">
      <w:pPr>
        <w:jc w:val="center"/>
        <w:rPr>
          <w:rFonts w:eastAsia="Calibri"/>
          <w:b/>
          <w:sz w:val="24"/>
          <w:szCs w:val="24"/>
        </w:rPr>
      </w:pPr>
    </w:p>
    <w:p w:rsidR="00216AEE" w:rsidRPr="00CC7677" w:rsidRDefault="00216AEE" w:rsidP="00216AEE">
      <w:pPr>
        <w:ind w:firstLine="708"/>
        <w:jc w:val="both"/>
        <w:rPr>
          <w:rFonts w:eastAsia="Calibri"/>
          <w:sz w:val="24"/>
          <w:szCs w:val="24"/>
        </w:rPr>
      </w:pPr>
      <w:r w:rsidRPr="00CC7677">
        <w:rPr>
          <w:rFonts w:eastAsia="Calibri"/>
          <w:sz w:val="24"/>
          <w:szCs w:val="24"/>
        </w:rPr>
        <w:t xml:space="preserve">Usvaja se Plan sukcesivnog pokrića manjka iz prethodnih godina </w:t>
      </w:r>
      <w:r w:rsidR="00956698">
        <w:rPr>
          <w:rFonts w:eastAsia="Calibri"/>
          <w:sz w:val="24"/>
          <w:szCs w:val="24"/>
        </w:rPr>
        <w:t>Općine Tučepi</w:t>
      </w:r>
      <w:r w:rsidRPr="00CC7677">
        <w:rPr>
          <w:rFonts w:eastAsia="Calibri"/>
          <w:sz w:val="24"/>
          <w:szCs w:val="24"/>
        </w:rPr>
        <w:t xml:space="preserve"> za razdoblje 202</w:t>
      </w:r>
      <w:r w:rsidR="00F6665E">
        <w:rPr>
          <w:rFonts w:eastAsia="Calibri"/>
          <w:sz w:val="24"/>
          <w:szCs w:val="24"/>
        </w:rPr>
        <w:t>2</w:t>
      </w:r>
      <w:r w:rsidRPr="00CC7677">
        <w:rPr>
          <w:rFonts w:eastAsia="Calibri"/>
          <w:sz w:val="24"/>
          <w:szCs w:val="24"/>
        </w:rPr>
        <w:t>.-202</w:t>
      </w:r>
      <w:r w:rsidR="00F6665E">
        <w:rPr>
          <w:rFonts w:eastAsia="Calibri"/>
          <w:sz w:val="24"/>
          <w:szCs w:val="24"/>
        </w:rPr>
        <w:t>4</w:t>
      </w:r>
      <w:r w:rsidRPr="00CC7677">
        <w:rPr>
          <w:rFonts w:eastAsia="Calibri"/>
          <w:sz w:val="24"/>
          <w:szCs w:val="24"/>
        </w:rPr>
        <w:t>. godine.</w:t>
      </w:r>
    </w:p>
    <w:p w:rsidR="00216AEE" w:rsidRPr="00CC7677" w:rsidRDefault="00216AEE" w:rsidP="00216AEE">
      <w:pPr>
        <w:jc w:val="both"/>
        <w:rPr>
          <w:rFonts w:eastAsia="Calibri"/>
          <w:sz w:val="24"/>
          <w:szCs w:val="24"/>
        </w:rPr>
      </w:pPr>
    </w:p>
    <w:p w:rsidR="00216AEE" w:rsidRPr="00CC7677" w:rsidRDefault="00216AEE" w:rsidP="00216AEE">
      <w:pPr>
        <w:jc w:val="center"/>
        <w:rPr>
          <w:rFonts w:eastAsia="Calibri"/>
          <w:b/>
          <w:bCs/>
          <w:sz w:val="24"/>
          <w:szCs w:val="24"/>
        </w:rPr>
      </w:pPr>
      <w:r w:rsidRPr="00CC7677">
        <w:rPr>
          <w:rFonts w:eastAsia="Calibri"/>
          <w:b/>
          <w:bCs/>
          <w:sz w:val="24"/>
          <w:szCs w:val="24"/>
        </w:rPr>
        <w:t>II.</w:t>
      </w:r>
    </w:p>
    <w:p w:rsidR="00216AEE" w:rsidRPr="00CC7677" w:rsidRDefault="00216AEE" w:rsidP="00216AEE">
      <w:pPr>
        <w:jc w:val="center"/>
        <w:rPr>
          <w:rFonts w:eastAsia="Calibri"/>
          <w:b/>
          <w:bCs/>
          <w:sz w:val="24"/>
          <w:szCs w:val="24"/>
        </w:rPr>
      </w:pPr>
    </w:p>
    <w:p w:rsidR="00216AEE" w:rsidRPr="00CC7677" w:rsidRDefault="00216AEE" w:rsidP="00216AEE">
      <w:pPr>
        <w:ind w:firstLine="708"/>
        <w:jc w:val="both"/>
        <w:rPr>
          <w:rFonts w:eastAsia="Calibri"/>
          <w:sz w:val="24"/>
          <w:szCs w:val="24"/>
        </w:rPr>
      </w:pPr>
      <w:r w:rsidRPr="00CC7677">
        <w:rPr>
          <w:rFonts w:eastAsia="Calibri"/>
          <w:sz w:val="24"/>
          <w:szCs w:val="24"/>
        </w:rPr>
        <w:t xml:space="preserve">Plan sukcesivnog pokrića manjka iz prethodnih godina </w:t>
      </w:r>
      <w:r w:rsidR="004E2233">
        <w:rPr>
          <w:rFonts w:eastAsia="Calibri"/>
          <w:sz w:val="24"/>
          <w:szCs w:val="24"/>
        </w:rPr>
        <w:t>Općine Tučepi</w:t>
      </w:r>
      <w:r w:rsidRPr="00CC7677">
        <w:rPr>
          <w:rFonts w:eastAsia="Calibri"/>
          <w:sz w:val="24"/>
          <w:szCs w:val="24"/>
        </w:rPr>
        <w:t xml:space="preserve"> za razdoblje 202</w:t>
      </w:r>
      <w:r w:rsidR="00F6665E">
        <w:rPr>
          <w:rFonts w:eastAsia="Calibri"/>
          <w:sz w:val="24"/>
          <w:szCs w:val="24"/>
        </w:rPr>
        <w:t>2</w:t>
      </w:r>
      <w:r w:rsidRPr="00CC7677">
        <w:rPr>
          <w:rFonts w:eastAsia="Calibri"/>
          <w:sz w:val="24"/>
          <w:szCs w:val="24"/>
        </w:rPr>
        <w:t>.-202</w:t>
      </w:r>
      <w:r w:rsidR="00F6665E">
        <w:rPr>
          <w:rFonts w:eastAsia="Calibri"/>
          <w:sz w:val="24"/>
          <w:szCs w:val="24"/>
        </w:rPr>
        <w:t>4</w:t>
      </w:r>
      <w:r w:rsidRPr="00CC7677">
        <w:rPr>
          <w:rFonts w:eastAsia="Calibri"/>
          <w:sz w:val="24"/>
          <w:szCs w:val="24"/>
        </w:rPr>
        <w:t>. godine nalazi se u privitku ove Odluke i čini njen sastavni dio.</w:t>
      </w:r>
    </w:p>
    <w:p w:rsidR="00216AEE" w:rsidRPr="00CC7677" w:rsidRDefault="00216AEE" w:rsidP="00216AEE">
      <w:pPr>
        <w:ind w:firstLine="708"/>
        <w:jc w:val="both"/>
        <w:rPr>
          <w:rFonts w:eastAsia="Calibri"/>
          <w:sz w:val="24"/>
          <w:szCs w:val="24"/>
        </w:rPr>
      </w:pPr>
    </w:p>
    <w:p w:rsidR="00216AEE" w:rsidRPr="00CC7677" w:rsidRDefault="001175A2" w:rsidP="00216AEE">
      <w:pPr>
        <w:ind w:left="3540" w:firstLine="708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</w:t>
      </w:r>
      <w:r w:rsidR="00216AEE" w:rsidRPr="00CC7677">
        <w:rPr>
          <w:rFonts w:eastAsia="Calibri"/>
          <w:b/>
          <w:bCs/>
          <w:sz w:val="24"/>
          <w:szCs w:val="24"/>
        </w:rPr>
        <w:t xml:space="preserve">  III.</w:t>
      </w:r>
    </w:p>
    <w:p w:rsidR="00216AEE" w:rsidRPr="00CC7677" w:rsidRDefault="00216AEE" w:rsidP="00216AEE">
      <w:pPr>
        <w:jc w:val="center"/>
        <w:rPr>
          <w:rFonts w:eastAsia="Calibri"/>
          <w:b/>
          <w:bCs/>
          <w:sz w:val="24"/>
          <w:szCs w:val="24"/>
        </w:rPr>
      </w:pPr>
    </w:p>
    <w:p w:rsidR="00216AEE" w:rsidRPr="00CC7677" w:rsidRDefault="00216AEE" w:rsidP="00216AEE">
      <w:pPr>
        <w:ind w:firstLine="708"/>
        <w:jc w:val="both"/>
        <w:rPr>
          <w:rFonts w:eastAsia="Calibri"/>
          <w:sz w:val="24"/>
          <w:szCs w:val="24"/>
        </w:rPr>
      </w:pPr>
      <w:r w:rsidRPr="00CC7677">
        <w:rPr>
          <w:rFonts w:eastAsia="Calibri"/>
          <w:sz w:val="24"/>
          <w:szCs w:val="24"/>
        </w:rPr>
        <w:t>Donošenjem ove Odluke prestaje važiti Odluka o</w:t>
      </w:r>
      <w:r>
        <w:rPr>
          <w:rFonts w:eastAsia="Calibri"/>
          <w:sz w:val="24"/>
          <w:szCs w:val="24"/>
        </w:rPr>
        <w:t xml:space="preserve"> planu </w:t>
      </w:r>
      <w:r w:rsidRPr="00CC7677">
        <w:rPr>
          <w:rFonts w:eastAsia="Calibri"/>
          <w:sz w:val="24"/>
          <w:szCs w:val="24"/>
        </w:rPr>
        <w:t>pokriću manjka</w:t>
      </w:r>
      <w:r>
        <w:rPr>
          <w:rFonts w:eastAsia="Calibri"/>
          <w:sz w:val="24"/>
          <w:szCs w:val="24"/>
        </w:rPr>
        <w:t xml:space="preserve"> prihoda </w:t>
      </w:r>
      <w:r w:rsidR="004E2233">
        <w:rPr>
          <w:rFonts w:eastAsia="Calibri"/>
          <w:sz w:val="24"/>
          <w:szCs w:val="24"/>
        </w:rPr>
        <w:t>Općine  Tučepi</w:t>
      </w:r>
      <w:r>
        <w:rPr>
          <w:rFonts w:eastAsia="Calibri"/>
          <w:sz w:val="24"/>
          <w:szCs w:val="24"/>
        </w:rPr>
        <w:t xml:space="preserve"> </w:t>
      </w:r>
      <w:r w:rsidRPr="00CC7677">
        <w:rPr>
          <w:rFonts w:eastAsia="Calibri"/>
          <w:sz w:val="24"/>
          <w:szCs w:val="24"/>
        </w:rPr>
        <w:t>("</w:t>
      </w:r>
      <w:r w:rsidR="00F34A59">
        <w:rPr>
          <w:rFonts w:eastAsia="Calibri"/>
          <w:sz w:val="24"/>
          <w:szCs w:val="24"/>
        </w:rPr>
        <w:t>Glasnik Općine Tučepi br.</w:t>
      </w:r>
      <w:r w:rsidR="00F6665E">
        <w:rPr>
          <w:rFonts w:eastAsia="Calibri"/>
          <w:sz w:val="24"/>
          <w:szCs w:val="24"/>
        </w:rPr>
        <w:t>12</w:t>
      </w:r>
      <w:r w:rsidR="00F34A59">
        <w:rPr>
          <w:rFonts w:eastAsia="Calibri"/>
          <w:sz w:val="24"/>
          <w:szCs w:val="24"/>
        </w:rPr>
        <w:t>/20</w:t>
      </w:r>
      <w:r w:rsidRPr="00CC7677">
        <w:rPr>
          <w:rFonts w:eastAsia="Calibri"/>
          <w:sz w:val="24"/>
          <w:szCs w:val="24"/>
        </w:rPr>
        <w:t xml:space="preserve">). Ova Odluka stupa na snagu </w:t>
      </w:r>
      <w:r w:rsidR="006B6997">
        <w:rPr>
          <w:rFonts w:eastAsia="Calibri"/>
          <w:sz w:val="24"/>
          <w:szCs w:val="24"/>
        </w:rPr>
        <w:t xml:space="preserve">jedan dan nakon </w:t>
      </w:r>
      <w:r w:rsidRPr="00CC7677">
        <w:rPr>
          <w:rFonts w:eastAsia="Calibri"/>
          <w:sz w:val="24"/>
          <w:szCs w:val="24"/>
        </w:rPr>
        <w:t>objave u "</w:t>
      </w:r>
      <w:r w:rsidR="004046CB">
        <w:rPr>
          <w:rFonts w:eastAsia="Calibri"/>
          <w:sz w:val="24"/>
          <w:szCs w:val="24"/>
        </w:rPr>
        <w:t>G</w:t>
      </w:r>
      <w:r w:rsidRPr="00CC7677">
        <w:rPr>
          <w:rFonts w:eastAsia="Calibri"/>
          <w:sz w:val="24"/>
          <w:szCs w:val="24"/>
        </w:rPr>
        <w:t xml:space="preserve">lasniku </w:t>
      </w:r>
      <w:r w:rsidR="004046CB">
        <w:rPr>
          <w:rFonts w:eastAsia="Calibri"/>
          <w:sz w:val="24"/>
          <w:szCs w:val="24"/>
        </w:rPr>
        <w:t>Općine Tučepi</w:t>
      </w:r>
      <w:r w:rsidRPr="00CC7677">
        <w:rPr>
          <w:rFonts w:eastAsia="Calibri"/>
          <w:sz w:val="24"/>
          <w:szCs w:val="24"/>
        </w:rPr>
        <w:t>"</w:t>
      </w:r>
      <w:r>
        <w:rPr>
          <w:rFonts w:eastAsia="Calibri"/>
          <w:sz w:val="24"/>
          <w:szCs w:val="24"/>
        </w:rPr>
        <w:t>.</w:t>
      </w:r>
    </w:p>
    <w:p w:rsidR="00216AEE" w:rsidRPr="00CC7677" w:rsidRDefault="00216AEE" w:rsidP="00216AEE">
      <w:pPr>
        <w:jc w:val="both"/>
        <w:rPr>
          <w:rFonts w:eastAsia="Calibri"/>
          <w:sz w:val="24"/>
          <w:szCs w:val="24"/>
        </w:rPr>
      </w:pPr>
    </w:p>
    <w:p w:rsidR="00216AEE" w:rsidRPr="00CC7677" w:rsidRDefault="00216AEE" w:rsidP="00216AEE">
      <w:pPr>
        <w:ind w:left="-567" w:firstLine="567"/>
        <w:rPr>
          <w:rFonts w:eastAsia="Calibri"/>
          <w:sz w:val="24"/>
          <w:szCs w:val="24"/>
        </w:rPr>
      </w:pPr>
      <w:r w:rsidRPr="00CC7677">
        <w:rPr>
          <w:rFonts w:eastAsia="Calibri"/>
          <w:sz w:val="24"/>
          <w:szCs w:val="24"/>
        </w:rPr>
        <w:t xml:space="preserve">KLASA: </w:t>
      </w:r>
      <w:r w:rsidR="00E4282A">
        <w:rPr>
          <w:rFonts w:eastAsia="Calibri"/>
          <w:sz w:val="24"/>
          <w:szCs w:val="24"/>
        </w:rPr>
        <w:t xml:space="preserve">  </w:t>
      </w:r>
      <w:r w:rsidR="00582257">
        <w:rPr>
          <w:rFonts w:eastAsia="Calibri"/>
          <w:sz w:val="24"/>
          <w:szCs w:val="24"/>
        </w:rPr>
        <w:t>400-08/21-01/02</w:t>
      </w:r>
      <w:bookmarkStart w:id="0" w:name="_GoBack"/>
      <w:bookmarkEnd w:id="0"/>
    </w:p>
    <w:p w:rsidR="00216AEE" w:rsidRPr="00CC7677" w:rsidRDefault="00216AEE" w:rsidP="00216AEE">
      <w:pPr>
        <w:ind w:left="-567" w:firstLine="567"/>
        <w:rPr>
          <w:rFonts w:eastAsia="Calibri"/>
          <w:sz w:val="24"/>
          <w:szCs w:val="24"/>
        </w:rPr>
      </w:pPr>
      <w:r w:rsidRPr="00CC7677">
        <w:rPr>
          <w:rFonts w:eastAsia="Calibri"/>
          <w:sz w:val="24"/>
          <w:szCs w:val="24"/>
        </w:rPr>
        <w:t xml:space="preserve">URBROJ: </w:t>
      </w:r>
      <w:r w:rsidR="00582257">
        <w:rPr>
          <w:rFonts w:eastAsia="Calibri"/>
          <w:sz w:val="24"/>
          <w:szCs w:val="24"/>
        </w:rPr>
        <w:t>2147/06-01-21-08</w:t>
      </w:r>
    </w:p>
    <w:p w:rsidR="00216AEE" w:rsidRPr="00CC7677" w:rsidRDefault="004E2233" w:rsidP="00216AEE">
      <w:pPr>
        <w:ind w:left="-567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Tučepi</w:t>
      </w:r>
      <w:r w:rsidR="00216AEE" w:rsidRPr="00CC7677">
        <w:rPr>
          <w:rFonts w:eastAsia="Calibri"/>
          <w:sz w:val="24"/>
          <w:szCs w:val="24"/>
        </w:rPr>
        <w:t>,</w:t>
      </w:r>
      <w:r w:rsidR="00216AEE">
        <w:rPr>
          <w:rFonts w:eastAsia="Calibri"/>
          <w:sz w:val="24"/>
          <w:szCs w:val="24"/>
        </w:rPr>
        <w:t xml:space="preserve"> </w:t>
      </w:r>
      <w:r w:rsidR="00582257">
        <w:rPr>
          <w:rFonts w:eastAsia="Calibri"/>
          <w:sz w:val="24"/>
          <w:szCs w:val="24"/>
        </w:rPr>
        <w:t>28</w:t>
      </w:r>
      <w:r w:rsidR="00216AEE">
        <w:rPr>
          <w:rFonts w:eastAsia="Calibri"/>
          <w:sz w:val="24"/>
          <w:szCs w:val="24"/>
        </w:rPr>
        <w:t>.</w:t>
      </w:r>
      <w:r w:rsidR="00216AEE" w:rsidRPr="00CC7677">
        <w:rPr>
          <w:rFonts w:eastAsia="Calibri"/>
          <w:sz w:val="24"/>
          <w:szCs w:val="24"/>
        </w:rPr>
        <w:t>prosinca 20</w:t>
      </w:r>
      <w:r>
        <w:rPr>
          <w:rFonts w:eastAsia="Calibri"/>
          <w:sz w:val="24"/>
          <w:szCs w:val="24"/>
        </w:rPr>
        <w:t>2</w:t>
      </w:r>
      <w:r w:rsidR="00F6665E">
        <w:rPr>
          <w:rFonts w:eastAsia="Calibri"/>
          <w:sz w:val="24"/>
          <w:szCs w:val="24"/>
        </w:rPr>
        <w:t>1</w:t>
      </w:r>
      <w:r w:rsidR="00216AEE" w:rsidRPr="00CC7677">
        <w:rPr>
          <w:rFonts w:eastAsia="Calibri"/>
          <w:sz w:val="24"/>
          <w:szCs w:val="24"/>
        </w:rPr>
        <w:t>.</w:t>
      </w:r>
    </w:p>
    <w:p w:rsidR="00216AEE" w:rsidRPr="00CC7677" w:rsidRDefault="00216AEE" w:rsidP="00216AEE">
      <w:pPr>
        <w:rPr>
          <w:sz w:val="24"/>
          <w:szCs w:val="24"/>
        </w:rPr>
      </w:pPr>
    </w:p>
    <w:p w:rsidR="00216AEE" w:rsidRPr="00CC7677" w:rsidRDefault="00216AEE" w:rsidP="00216AEE">
      <w:pPr>
        <w:rPr>
          <w:sz w:val="24"/>
          <w:szCs w:val="24"/>
        </w:rPr>
      </w:pPr>
    </w:p>
    <w:p w:rsidR="00216AEE" w:rsidRPr="00CC7677" w:rsidRDefault="00216AEE" w:rsidP="00216AEE">
      <w:pPr>
        <w:rPr>
          <w:sz w:val="24"/>
          <w:szCs w:val="24"/>
        </w:rPr>
      </w:pPr>
    </w:p>
    <w:p w:rsidR="00216AEE" w:rsidRPr="00CC7677" w:rsidRDefault="00216AEE" w:rsidP="00216AEE">
      <w:pPr>
        <w:rPr>
          <w:sz w:val="24"/>
          <w:szCs w:val="24"/>
        </w:rPr>
      </w:pPr>
    </w:p>
    <w:p w:rsidR="00216AEE" w:rsidRPr="00CC7677" w:rsidRDefault="00216AEE" w:rsidP="00216AEE">
      <w:pPr>
        <w:rPr>
          <w:sz w:val="24"/>
          <w:szCs w:val="24"/>
        </w:rPr>
      </w:pPr>
    </w:p>
    <w:p w:rsidR="00216AEE" w:rsidRPr="00CC7677" w:rsidRDefault="00DA4D9D" w:rsidP="00216A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Općinsko vijeće Općine Tučepi</w:t>
      </w:r>
    </w:p>
    <w:p w:rsidR="00216AEE" w:rsidRPr="00CC7677" w:rsidRDefault="00216AEE" w:rsidP="00216AEE">
      <w:pPr>
        <w:jc w:val="both"/>
        <w:rPr>
          <w:sz w:val="24"/>
          <w:szCs w:val="24"/>
        </w:rPr>
      </w:pPr>
      <w:r w:rsidRPr="00CC7677">
        <w:rPr>
          <w:sz w:val="24"/>
          <w:szCs w:val="24"/>
        </w:rPr>
        <w:tab/>
      </w:r>
      <w:r w:rsidRPr="00CC7677">
        <w:rPr>
          <w:sz w:val="24"/>
          <w:szCs w:val="24"/>
        </w:rPr>
        <w:tab/>
      </w:r>
      <w:r w:rsidRPr="00CC7677">
        <w:rPr>
          <w:sz w:val="24"/>
          <w:szCs w:val="24"/>
        </w:rPr>
        <w:tab/>
      </w:r>
      <w:r w:rsidRPr="00CC7677">
        <w:rPr>
          <w:sz w:val="24"/>
          <w:szCs w:val="24"/>
        </w:rPr>
        <w:tab/>
      </w:r>
      <w:r w:rsidRPr="00CC7677">
        <w:rPr>
          <w:sz w:val="24"/>
          <w:szCs w:val="24"/>
        </w:rPr>
        <w:tab/>
      </w:r>
      <w:r w:rsidRPr="00CC7677">
        <w:rPr>
          <w:sz w:val="24"/>
          <w:szCs w:val="24"/>
        </w:rPr>
        <w:tab/>
      </w:r>
      <w:r w:rsidRPr="00CC7677">
        <w:rPr>
          <w:sz w:val="24"/>
          <w:szCs w:val="24"/>
        </w:rPr>
        <w:tab/>
      </w:r>
      <w:r w:rsidR="00DA4D9D">
        <w:rPr>
          <w:sz w:val="24"/>
          <w:szCs w:val="24"/>
        </w:rPr>
        <w:t xml:space="preserve">  Predsjedni</w:t>
      </w:r>
      <w:r w:rsidR="00F6665E">
        <w:rPr>
          <w:sz w:val="24"/>
          <w:szCs w:val="24"/>
        </w:rPr>
        <w:t xml:space="preserve">ca </w:t>
      </w:r>
      <w:r w:rsidR="00DA4D9D">
        <w:rPr>
          <w:sz w:val="24"/>
          <w:szCs w:val="24"/>
        </w:rPr>
        <w:t>općinskog vijeća</w:t>
      </w:r>
      <w:r w:rsidRPr="00CC7677">
        <w:rPr>
          <w:sz w:val="24"/>
          <w:szCs w:val="24"/>
        </w:rPr>
        <w:tab/>
      </w:r>
    </w:p>
    <w:p w:rsidR="00216AEE" w:rsidRPr="00CC7677" w:rsidRDefault="00216AEE" w:rsidP="00216AEE">
      <w:pPr>
        <w:jc w:val="both"/>
        <w:rPr>
          <w:sz w:val="24"/>
          <w:szCs w:val="24"/>
        </w:rPr>
      </w:pPr>
      <w:r w:rsidRPr="00CC7677">
        <w:rPr>
          <w:color w:val="000000"/>
          <w:sz w:val="24"/>
          <w:szCs w:val="24"/>
          <w:lang w:eastAsia="hr-HR"/>
        </w:rPr>
        <w:t xml:space="preserve">       </w:t>
      </w:r>
      <w:r w:rsidRPr="00CC7677">
        <w:rPr>
          <w:color w:val="000000"/>
          <w:sz w:val="24"/>
          <w:szCs w:val="24"/>
          <w:lang w:eastAsia="hr-HR"/>
        </w:rPr>
        <w:tab/>
        <w:t xml:space="preserve"> </w:t>
      </w:r>
      <w:r w:rsidRPr="00CC7677">
        <w:rPr>
          <w:color w:val="000000"/>
          <w:sz w:val="24"/>
          <w:szCs w:val="24"/>
          <w:lang w:eastAsia="hr-HR"/>
        </w:rPr>
        <w:tab/>
      </w:r>
      <w:r w:rsidRPr="00CC7677">
        <w:rPr>
          <w:color w:val="000000"/>
          <w:sz w:val="24"/>
          <w:szCs w:val="24"/>
          <w:lang w:eastAsia="hr-HR"/>
        </w:rPr>
        <w:tab/>
      </w:r>
      <w:r w:rsidRPr="00CC7677">
        <w:rPr>
          <w:color w:val="000000"/>
          <w:sz w:val="24"/>
          <w:szCs w:val="24"/>
          <w:lang w:eastAsia="hr-HR"/>
        </w:rPr>
        <w:tab/>
      </w:r>
      <w:r w:rsidRPr="00CC7677">
        <w:rPr>
          <w:color w:val="000000"/>
          <w:sz w:val="24"/>
          <w:szCs w:val="24"/>
          <w:lang w:eastAsia="hr-HR"/>
        </w:rPr>
        <w:tab/>
      </w:r>
      <w:r w:rsidRPr="00CC7677">
        <w:rPr>
          <w:color w:val="000000"/>
          <w:sz w:val="24"/>
          <w:szCs w:val="24"/>
          <w:lang w:eastAsia="hr-HR"/>
        </w:rPr>
        <w:tab/>
      </w:r>
      <w:r w:rsidRPr="00CC7677">
        <w:rPr>
          <w:color w:val="000000"/>
          <w:sz w:val="24"/>
          <w:szCs w:val="24"/>
          <w:lang w:eastAsia="hr-HR"/>
        </w:rPr>
        <w:tab/>
        <w:t xml:space="preserve"> </w:t>
      </w:r>
      <w:r w:rsidRPr="00CC7677">
        <w:rPr>
          <w:color w:val="000000"/>
          <w:sz w:val="24"/>
          <w:szCs w:val="24"/>
          <w:lang w:eastAsia="hr-HR"/>
        </w:rPr>
        <w:tab/>
      </w:r>
      <w:r w:rsidR="00DA4D9D">
        <w:rPr>
          <w:color w:val="000000"/>
          <w:sz w:val="24"/>
          <w:szCs w:val="24"/>
          <w:lang w:eastAsia="hr-HR"/>
        </w:rPr>
        <w:t xml:space="preserve"> </w:t>
      </w:r>
      <w:r w:rsidR="00F6665E">
        <w:rPr>
          <w:color w:val="000000"/>
          <w:sz w:val="24"/>
          <w:szCs w:val="24"/>
          <w:lang w:eastAsia="hr-HR"/>
        </w:rPr>
        <w:t>Ivana Visković</w:t>
      </w: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415016" w:rsidRDefault="003F237D" w:rsidP="003F237D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PLAN SUKCESIVNOG POKRIĆA MANJKA IZ PRETHODNIH GODINA </w:t>
      </w:r>
      <w:r w:rsidR="00644CAA">
        <w:rPr>
          <w:b/>
          <w:bCs/>
          <w:sz w:val="26"/>
          <w:szCs w:val="26"/>
        </w:rPr>
        <w:t xml:space="preserve">OPĆINE TUČEPI </w:t>
      </w:r>
      <w:r>
        <w:rPr>
          <w:b/>
          <w:bCs/>
          <w:sz w:val="26"/>
          <w:szCs w:val="26"/>
        </w:rPr>
        <w:t>ZA RAZDOBLJE 202</w:t>
      </w:r>
      <w:r w:rsidR="00F6665E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 – 202</w:t>
      </w:r>
      <w:r w:rsidR="00F6665E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. GODINE </w:t>
      </w:r>
    </w:p>
    <w:p w:rsidR="00415016" w:rsidRDefault="00415016" w:rsidP="003F237D">
      <w:pPr>
        <w:pStyle w:val="Default"/>
        <w:rPr>
          <w:b/>
          <w:bCs/>
          <w:sz w:val="26"/>
          <w:szCs w:val="26"/>
        </w:rPr>
      </w:pPr>
    </w:p>
    <w:p w:rsidR="00415016" w:rsidRDefault="003F237D" w:rsidP="003F237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UVOD </w:t>
      </w:r>
    </w:p>
    <w:p w:rsidR="00415016" w:rsidRDefault="00415016" w:rsidP="003F237D">
      <w:pPr>
        <w:pStyle w:val="Default"/>
        <w:rPr>
          <w:sz w:val="22"/>
          <w:szCs w:val="22"/>
        </w:rPr>
      </w:pPr>
    </w:p>
    <w:p w:rsidR="003F237D" w:rsidRDefault="003F237D" w:rsidP="0041501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U skladu s Uputama za izradu proračuna Jedinica lokalne i područne (regionalne) samouprave za razdoblje 2018. – 2020., izrađena je analiza financijskog stanja </w:t>
      </w:r>
      <w:r w:rsidR="001A522C">
        <w:rPr>
          <w:sz w:val="22"/>
          <w:szCs w:val="22"/>
        </w:rPr>
        <w:t>Općine Tučepi</w:t>
      </w:r>
      <w:r>
        <w:rPr>
          <w:sz w:val="22"/>
          <w:szCs w:val="22"/>
        </w:rPr>
        <w:t xml:space="preserve"> radi što kvalitetnije procjene ukupnog rezultata za 20</w:t>
      </w:r>
      <w:r w:rsidR="001A522C">
        <w:rPr>
          <w:sz w:val="22"/>
          <w:szCs w:val="22"/>
        </w:rPr>
        <w:t>2</w:t>
      </w:r>
      <w:r w:rsidR="00F6665E">
        <w:rPr>
          <w:sz w:val="22"/>
          <w:szCs w:val="22"/>
        </w:rPr>
        <w:t>1</w:t>
      </w:r>
      <w:r>
        <w:rPr>
          <w:sz w:val="22"/>
          <w:szCs w:val="22"/>
        </w:rPr>
        <w:t>. godinu te izrade plana pokrića manjka utvrđenog na dan 31.12.20</w:t>
      </w:r>
      <w:r w:rsidR="00F6665E">
        <w:rPr>
          <w:sz w:val="22"/>
          <w:szCs w:val="22"/>
        </w:rPr>
        <w:t>20</w:t>
      </w:r>
      <w:r>
        <w:rPr>
          <w:sz w:val="22"/>
          <w:szCs w:val="22"/>
        </w:rPr>
        <w:t>. godine. Na temelju sagledanih pokazatelja sastavljen je prijedlog mjera za pokriće manjka i akcijski plan za njihovu provedbu. U analizi financijskog stanja korišteni su podaci iz financijskih izvještaja razine 22 iz 201</w:t>
      </w:r>
      <w:r w:rsidR="00F6665E">
        <w:rPr>
          <w:sz w:val="22"/>
          <w:szCs w:val="22"/>
        </w:rPr>
        <w:t>9</w:t>
      </w:r>
      <w:r>
        <w:rPr>
          <w:sz w:val="22"/>
          <w:szCs w:val="22"/>
        </w:rPr>
        <w:t>. i 20</w:t>
      </w:r>
      <w:r w:rsidR="00F6665E">
        <w:rPr>
          <w:sz w:val="22"/>
          <w:szCs w:val="22"/>
        </w:rPr>
        <w:t>20</w:t>
      </w:r>
      <w:r>
        <w:rPr>
          <w:sz w:val="22"/>
          <w:szCs w:val="22"/>
        </w:rPr>
        <w:t xml:space="preserve">. godine. </w:t>
      </w:r>
    </w:p>
    <w:p w:rsidR="003F237D" w:rsidRDefault="003F237D" w:rsidP="003F237D">
      <w:pPr>
        <w:pStyle w:val="Default"/>
        <w:rPr>
          <w:sz w:val="22"/>
          <w:szCs w:val="22"/>
        </w:rPr>
      </w:pPr>
    </w:p>
    <w:p w:rsidR="00415016" w:rsidRDefault="003F237D" w:rsidP="003F237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ANALIZA I OCJENA POSTOJEĆEG FINANCIJSKOG STANJA </w:t>
      </w:r>
    </w:p>
    <w:p w:rsidR="00415016" w:rsidRDefault="00415016" w:rsidP="003F237D">
      <w:pPr>
        <w:pStyle w:val="Default"/>
        <w:rPr>
          <w:b/>
          <w:bCs/>
          <w:sz w:val="22"/>
          <w:szCs w:val="22"/>
        </w:rPr>
      </w:pPr>
    </w:p>
    <w:p w:rsidR="00415016" w:rsidRDefault="003F237D" w:rsidP="003F237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Bilanca na dan 31.12.20</w:t>
      </w:r>
      <w:r w:rsidR="00F6665E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. </w:t>
      </w:r>
    </w:p>
    <w:p w:rsidR="00415016" w:rsidRDefault="00415016" w:rsidP="003F237D">
      <w:pPr>
        <w:pStyle w:val="Default"/>
        <w:rPr>
          <w:b/>
          <w:bCs/>
          <w:sz w:val="22"/>
          <w:szCs w:val="22"/>
        </w:rPr>
      </w:pPr>
    </w:p>
    <w:p w:rsidR="003F237D" w:rsidRDefault="003F237D" w:rsidP="0041501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Prema podacima iz Bilance na dan 31. prosinca 20</w:t>
      </w:r>
      <w:r w:rsidR="00F6665E">
        <w:rPr>
          <w:sz w:val="22"/>
          <w:szCs w:val="22"/>
        </w:rPr>
        <w:t>20</w:t>
      </w:r>
      <w:r>
        <w:rPr>
          <w:sz w:val="22"/>
          <w:szCs w:val="22"/>
        </w:rPr>
        <w:t xml:space="preserve">. godine ukupna vrijednost imovine te obveza i vlastitih izvora iskazana je u iznosu od </w:t>
      </w:r>
      <w:r w:rsidR="001B3DC9">
        <w:rPr>
          <w:sz w:val="22"/>
          <w:szCs w:val="22"/>
        </w:rPr>
        <w:t>106</w:t>
      </w:r>
      <w:r>
        <w:rPr>
          <w:sz w:val="22"/>
          <w:szCs w:val="22"/>
        </w:rPr>
        <w:t>.</w:t>
      </w:r>
      <w:r w:rsidR="001B3DC9">
        <w:rPr>
          <w:sz w:val="22"/>
          <w:szCs w:val="22"/>
        </w:rPr>
        <w:t>8</w:t>
      </w:r>
      <w:r w:rsidR="00514D73">
        <w:rPr>
          <w:sz w:val="22"/>
          <w:szCs w:val="22"/>
        </w:rPr>
        <w:t>4</w:t>
      </w:r>
      <w:r w:rsidR="001B3DC9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1B3DC9">
        <w:rPr>
          <w:sz w:val="22"/>
          <w:szCs w:val="22"/>
        </w:rPr>
        <w:t>9</w:t>
      </w:r>
      <w:r w:rsidR="00514D73">
        <w:rPr>
          <w:sz w:val="22"/>
          <w:szCs w:val="22"/>
        </w:rPr>
        <w:t>38,</w:t>
      </w:r>
      <w:r w:rsidR="001B3DC9">
        <w:rPr>
          <w:sz w:val="22"/>
          <w:szCs w:val="22"/>
        </w:rPr>
        <w:t>50</w:t>
      </w:r>
      <w:r>
        <w:rPr>
          <w:sz w:val="22"/>
          <w:szCs w:val="22"/>
        </w:rPr>
        <w:t xml:space="preserve"> kn i u odnosu na prethodnu godinu </w:t>
      </w:r>
      <w:r w:rsidR="00DE46E6">
        <w:rPr>
          <w:sz w:val="22"/>
          <w:szCs w:val="22"/>
        </w:rPr>
        <w:t xml:space="preserve">veća </w:t>
      </w:r>
      <w:r>
        <w:rPr>
          <w:sz w:val="22"/>
          <w:szCs w:val="22"/>
        </w:rPr>
        <w:t xml:space="preserve">je za </w:t>
      </w:r>
      <w:r w:rsidR="00DD1E16">
        <w:rPr>
          <w:sz w:val="22"/>
          <w:szCs w:val="22"/>
        </w:rPr>
        <w:t>1</w:t>
      </w:r>
      <w:r w:rsidR="004B2EE9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F736E7">
        <w:rPr>
          <w:sz w:val="22"/>
          <w:szCs w:val="22"/>
        </w:rPr>
        <w:t>8</w:t>
      </w:r>
      <w:r w:rsidR="004B2EE9">
        <w:rPr>
          <w:sz w:val="22"/>
          <w:szCs w:val="22"/>
        </w:rPr>
        <w:t>69</w:t>
      </w:r>
      <w:r>
        <w:rPr>
          <w:sz w:val="22"/>
          <w:szCs w:val="22"/>
        </w:rPr>
        <w:t>.</w:t>
      </w:r>
      <w:r w:rsidR="004B2EE9">
        <w:rPr>
          <w:sz w:val="22"/>
          <w:szCs w:val="22"/>
        </w:rPr>
        <w:t>764,75</w:t>
      </w:r>
      <w:r>
        <w:rPr>
          <w:sz w:val="22"/>
          <w:szCs w:val="22"/>
        </w:rPr>
        <w:t xml:space="preserve"> kn. U nastavku se daje tabelarni prikaz stanja Bilance na početku i na kraju 20</w:t>
      </w:r>
      <w:r w:rsidR="007D6997">
        <w:rPr>
          <w:sz w:val="22"/>
          <w:szCs w:val="22"/>
        </w:rPr>
        <w:t>20</w:t>
      </w:r>
      <w:r>
        <w:rPr>
          <w:sz w:val="22"/>
          <w:szCs w:val="22"/>
        </w:rPr>
        <w:t xml:space="preserve">. godine </w:t>
      </w:r>
    </w:p>
    <w:p w:rsidR="003F237D" w:rsidRDefault="003F237D" w:rsidP="003F237D">
      <w:pPr>
        <w:pStyle w:val="Default"/>
        <w:rPr>
          <w:sz w:val="22"/>
          <w:szCs w:val="22"/>
        </w:rPr>
      </w:pPr>
    </w:p>
    <w:p w:rsidR="003F237D" w:rsidRDefault="003F237D" w:rsidP="003F237D">
      <w:pPr>
        <w:pStyle w:val="Default"/>
        <w:rPr>
          <w:sz w:val="22"/>
          <w:szCs w:val="22"/>
        </w:rPr>
      </w:pPr>
    </w:p>
    <w:p w:rsidR="003F237D" w:rsidRDefault="003F237D" w:rsidP="003F237D">
      <w:pPr>
        <w:pStyle w:val="Default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2126"/>
        <w:gridCol w:w="2024"/>
      </w:tblGrid>
      <w:tr w:rsidR="00CF0385" w:rsidTr="00E83EA2">
        <w:tc>
          <w:tcPr>
            <w:tcW w:w="5949" w:type="dxa"/>
            <w:shd w:val="clear" w:color="auto" w:fill="7F7F7F" w:themeFill="text1" w:themeFillTint="80"/>
          </w:tcPr>
          <w:p w:rsidR="00CF0385" w:rsidRPr="000E1BCB" w:rsidRDefault="00CF0385" w:rsidP="00CF0385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Opis</w:t>
            </w:r>
          </w:p>
          <w:p w:rsidR="00CF0385" w:rsidRPr="000E1BCB" w:rsidRDefault="00CF0385" w:rsidP="00CF038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:rsidR="00CF0385" w:rsidRPr="000E1BCB" w:rsidRDefault="00CF0385" w:rsidP="00CF0385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Stanje 01.01.20</w:t>
            </w:r>
            <w:r w:rsidR="00F6665E">
              <w:rPr>
                <w:b/>
                <w:bCs/>
                <w:sz w:val="20"/>
                <w:szCs w:val="20"/>
              </w:rPr>
              <w:t>20</w:t>
            </w:r>
            <w:r w:rsidRPr="000E1BCB">
              <w:rPr>
                <w:b/>
                <w:bCs/>
                <w:sz w:val="20"/>
                <w:szCs w:val="20"/>
              </w:rPr>
              <w:t>. (kn)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7F7F7F" w:themeFill="text1" w:themeFillTint="80"/>
          </w:tcPr>
          <w:p w:rsidR="00CF0385" w:rsidRPr="000E1BCB" w:rsidRDefault="00CF0385" w:rsidP="00CF0385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Stanje 31.12.20</w:t>
            </w:r>
            <w:r w:rsidR="00F6665E">
              <w:rPr>
                <w:b/>
                <w:bCs/>
                <w:sz w:val="20"/>
                <w:szCs w:val="20"/>
              </w:rPr>
              <w:t>20</w:t>
            </w:r>
            <w:r w:rsidRPr="000E1BCB">
              <w:rPr>
                <w:b/>
                <w:bCs/>
                <w:sz w:val="20"/>
                <w:szCs w:val="20"/>
              </w:rPr>
              <w:t>. (kn)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</w:tr>
      <w:tr w:rsidR="00314F09" w:rsidTr="00E83EA2">
        <w:tc>
          <w:tcPr>
            <w:tcW w:w="5949" w:type="dxa"/>
            <w:shd w:val="clear" w:color="auto" w:fill="D0CECE" w:themeFill="background2" w:themeFillShade="E6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 xml:space="preserve">Nefinancijska imovina </w:t>
            </w:r>
          </w:p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314F09" w:rsidRPr="00E83EA2" w:rsidRDefault="00314F09" w:rsidP="00314F0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>84</w:t>
            </w:r>
            <w:r w:rsidRPr="00E83EA2">
              <w:rPr>
                <w:b/>
                <w:bCs/>
                <w:sz w:val="20"/>
                <w:szCs w:val="20"/>
              </w:rPr>
              <w:t>.352.38</w:t>
            </w:r>
            <w:r>
              <w:rPr>
                <w:b/>
                <w:bCs/>
                <w:sz w:val="20"/>
                <w:szCs w:val="20"/>
              </w:rPr>
              <w:t>3,70</w:t>
            </w:r>
          </w:p>
        </w:tc>
        <w:tc>
          <w:tcPr>
            <w:tcW w:w="2024" w:type="dxa"/>
            <w:shd w:val="clear" w:color="auto" w:fill="D0CECE" w:themeFill="background2" w:themeFillShade="E6"/>
          </w:tcPr>
          <w:p w:rsidR="00314F09" w:rsidRPr="00E83EA2" w:rsidRDefault="00314F09" w:rsidP="00314F0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4225ED">
              <w:rPr>
                <w:b/>
                <w:bCs/>
                <w:sz w:val="20"/>
                <w:szCs w:val="20"/>
              </w:rPr>
              <w:t>99.440</w:t>
            </w:r>
            <w:r w:rsidRPr="00E83EA2">
              <w:rPr>
                <w:b/>
                <w:bCs/>
                <w:sz w:val="20"/>
                <w:szCs w:val="20"/>
              </w:rPr>
              <w:t>.38</w:t>
            </w:r>
            <w:r w:rsidR="00341E2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341E20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314F09" w:rsidTr="00CF0385">
        <w:tc>
          <w:tcPr>
            <w:tcW w:w="5949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Neproizvedena dugotrajna imovina </w:t>
            </w:r>
          </w:p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38.512.148,82 </w:t>
            </w:r>
          </w:p>
        </w:tc>
        <w:tc>
          <w:tcPr>
            <w:tcW w:w="2024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38.</w:t>
            </w:r>
            <w:r w:rsidR="004225ED">
              <w:rPr>
                <w:sz w:val="20"/>
                <w:szCs w:val="20"/>
              </w:rPr>
              <w:t>528</w:t>
            </w:r>
            <w:r>
              <w:rPr>
                <w:sz w:val="20"/>
                <w:szCs w:val="20"/>
              </w:rPr>
              <w:t>.</w:t>
            </w:r>
            <w:r w:rsidR="004225ED">
              <w:rPr>
                <w:sz w:val="20"/>
                <w:szCs w:val="20"/>
              </w:rPr>
              <w:t>35</w:t>
            </w:r>
            <w:r w:rsidR="00341E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341E20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14F09" w:rsidTr="00CF0385">
        <w:tc>
          <w:tcPr>
            <w:tcW w:w="5949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Proizvedena dugotrajna imovina </w:t>
            </w:r>
          </w:p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45.840.234,88</w:t>
            </w:r>
          </w:p>
        </w:tc>
        <w:tc>
          <w:tcPr>
            <w:tcW w:w="2024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4225E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="004225ED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>.</w:t>
            </w:r>
            <w:r w:rsidR="00422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34,</w:t>
            </w:r>
            <w:r w:rsidR="00341E20">
              <w:rPr>
                <w:sz w:val="20"/>
                <w:szCs w:val="20"/>
              </w:rPr>
              <w:t>35</w:t>
            </w:r>
          </w:p>
        </w:tc>
      </w:tr>
      <w:tr w:rsidR="00314F09" w:rsidTr="00E83EA2">
        <w:tc>
          <w:tcPr>
            <w:tcW w:w="5949" w:type="dxa"/>
            <w:shd w:val="clear" w:color="auto" w:fill="D0CECE" w:themeFill="background2" w:themeFillShade="E6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 xml:space="preserve">Financijska imovina </w:t>
            </w:r>
          </w:p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314F09" w:rsidRPr="00E83EA2" w:rsidRDefault="00314F09" w:rsidP="00314F0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E83EA2">
              <w:rPr>
                <w:b/>
                <w:bCs/>
                <w:sz w:val="20"/>
                <w:szCs w:val="20"/>
              </w:rPr>
              <w:t>7.620.790</w:t>
            </w:r>
            <w:r>
              <w:rPr>
                <w:b/>
                <w:bCs/>
                <w:sz w:val="20"/>
                <w:szCs w:val="20"/>
              </w:rPr>
              <w:t>,05</w:t>
            </w:r>
          </w:p>
        </w:tc>
        <w:tc>
          <w:tcPr>
            <w:tcW w:w="2024" w:type="dxa"/>
            <w:shd w:val="clear" w:color="auto" w:fill="D0CECE" w:themeFill="background2" w:themeFillShade="E6"/>
          </w:tcPr>
          <w:p w:rsidR="00314F09" w:rsidRPr="00E83EA2" w:rsidRDefault="00314F09" w:rsidP="00314F0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E83EA2">
              <w:rPr>
                <w:b/>
                <w:bCs/>
                <w:sz w:val="20"/>
                <w:szCs w:val="20"/>
              </w:rPr>
              <w:t>7.</w:t>
            </w:r>
            <w:r w:rsidR="004225ED">
              <w:rPr>
                <w:b/>
                <w:bCs/>
                <w:sz w:val="20"/>
                <w:szCs w:val="20"/>
              </w:rPr>
              <w:t>402</w:t>
            </w:r>
            <w:r w:rsidRPr="00E83EA2">
              <w:rPr>
                <w:b/>
                <w:bCs/>
                <w:sz w:val="20"/>
                <w:szCs w:val="20"/>
              </w:rPr>
              <w:t>.</w:t>
            </w:r>
            <w:r w:rsidR="004225ED">
              <w:rPr>
                <w:b/>
                <w:bCs/>
                <w:sz w:val="20"/>
                <w:szCs w:val="20"/>
              </w:rPr>
              <w:t>5</w:t>
            </w:r>
            <w:r w:rsidR="0055418E">
              <w:rPr>
                <w:b/>
                <w:bCs/>
                <w:sz w:val="20"/>
                <w:szCs w:val="20"/>
              </w:rPr>
              <w:t>49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5418E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314F09" w:rsidTr="00CF0385">
        <w:tc>
          <w:tcPr>
            <w:tcW w:w="5949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Novac u banci i blagajni </w:t>
            </w:r>
          </w:p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457.024,61</w:t>
            </w:r>
          </w:p>
        </w:tc>
        <w:tc>
          <w:tcPr>
            <w:tcW w:w="2024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4225ED">
              <w:rPr>
                <w:sz w:val="20"/>
                <w:szCs w:val="20"/>
              </w:rPr>
              <w:t xml:space="preserve">  70</w:t>
            </w:r>
            <w:r>
              <w:rPr>
                <w:sz w:val="20"/>
                <w:szCs w:val="20"/>
              </w:rPr>
              <w:t>.</w:t>
            </w:r>
            <w:r w:rsidR="004225ED">
              <w:rPr>
                <w:sz w:val="20"/>
                <w:szCs w:val="20"/>
              </w:rPr>
              <w:t>3</w:t>
            </w:r>
            <w:r w:rsidR="0055418E">
              <w:rPr>
                <w:sz w:val="20"/>
                <w:szCs w:val="20"/>
              </w:rPr>
              <w:t>59</w:t>
            </w:r>
            <w:r w:rsidR="004225ED">
              <w:rPr>
                <w:sz w:val="20"/>
                <w:szCs w:val="20"/>
              </w:rPr>
              <w:t>,</w:t>
            </w:r>
            <w:r w:rsidR="0055418E">
              <w:rPr>
                <w:sz w:val="20"/>
                <w:szCs w:val="20"/>
              </w:rPr>
              <w:t>55</w:t>
            </w:r>
          </w:p>
        </w:tc>
      </w:tr>
      <w:tr w:rsidR="00314F09" w:rsidTr="00CF0385">
        <w:tc>
          <w:tcPr>
            <w:tcW w:w="5949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Depoziti, jamčevni polozi i potraživanja od zaposlenih te za više plaćene poreze i ostalo </w:t>
            </w:r>
          </w:p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20.619,02</w:t>
            </w:r>
          </w:p>
        </w:tc>
        <w:tc>
          <w:tcPr>
            <w:tcW w:w="2024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4225ED">
              <w:rPr>
                <w:sz w:val="20"/>
                <w:szCs w:val="20"/>
              </w:rPr>
              <w:t xml:space="preserve">   7</w:t>
            </w:r>
            <w:r>
              <w:rPr>
                <w:sz w:val="20"/>
                <w:szCs w:val="20"/>
              </w:rPr>
              <w:t>.</w:t>
            </w:r>
            <w:r w:rsidR="004225ED">
              <w:rPr>
                <w:sz w:val="20"/>
                <w:szCs w:val="20"/>
              </w:rPr>
              <w:t>4</w:t>
            </w:r>
            <w:r w:rsidR="0055418E">
              <w:rPr>
                <w:sz w:val="20"/>
                <w:szCs w:val="20"/>
              </w:rPr>
              <w:t>8</w:t>
            </w:r>
            <w:r w:rsidR="004225ED">
              <w:rPr>
                <w:sz w:val="20"/>
                <w:szCs w:val="20"/>
              </w:rPr>
              <w:t>9,</w:t>
            </w:r>
            <w:r w:rsidR="0055418E">
              <w:rPr>
                <w:sz w:val="20"/>
                <w:szCs w:val="20"/>
              </w:rPr>
              <w:t>86</w:t>
            </w:r>
          </w:p>
        </w:tc>
      </w:tr>
      <w:tr w:rsidR="00314F09" w:rsidTr="00CF0385">
        <w:tc>
          <w:tcPr>
            <w:tcW w:w="5949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Dionice i udjeli u glavnici </w:t>
            </w:r>
          </w:p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2.568.500,00</w:t>
            </w:r>
          </w:p>
        </w:tc>
        <w:tc>
          <w:tcPr>
            <w:tcW w:w="2024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2.5</w:t>
            </w:r>
            <w:r w:rsidR="004225E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8.500,00</w:t>
            </w:r>
          </w:p>
        </w:tc>
      </w:tr>
      <w:tr w:rsidR="00314F09" w:rsidTr="00CF0385">
        <w:tc>
          <w:tcPr>
            <w:tcW w:w="5949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Potraživanja za prihode poslovanja </w:t>
            </w:r>
          </w:p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4.450.006,03</w:t>
            </w:r>
          </w:p>
        </w:tc>
        <w:tc>
          <w:tcPr>
            <w:tcW w:w="2024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</w:t>
            </w:r>
            <w:r w:rsidR="004225ED">
              <w:rPr>
                <w:sz w:val="20"/>
                <w:szCs w:val="20"/>
              </w:rPr>
              <w:t>581</w:t>
            </w:r>
            <w:r>
              <w:rPr>
                <w:sz w:val="20"/>
                <w:szCs w:val="20"/>
              </w:rPr>
              <w:t>.</w:t>
            </w:r>
            <w:r w:rsidR="004225ED">
              <w:rPr>
                <w:sz w:val="20"/>
                <w:szCs w:val="20"/>
              </w:rPr>
              <w:t>375</w:t>
            </w:r>
            <w:r>
              <w:rPr>
                <w:sz w:val="20"/>
                <w:szCs w:val="20"/>
              </w:rPr>
              <w:t>,</w:t>
            </w:r>
            <w:r w:rsidR="0055418E">
              <w:rPr>
                <w:sz w:val="20"/>
                <w:szCs w:val="20"/>
              </w:rPr>
              <w:t>3</w:t>
            </w:r>
            <w:r w:rsidR="004225ED">
              <w:rPr>
                <w:sz w:val="20"/>
                <w:szCs w:val="20"/>
              </w:rPr>
              <w:t>0</w:t>
            </w:r>
          </w:p>
        </w:tc>
      </w:tr>
      <w:tr w:rsidR="00314F09" w:rsidTr="00CF0385">
        <w:tc>
          <w:tcPr>
            <w:tcW w:w="5949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Potraživanja od prodaje nefinancijske imovine </w:t>
            </w:r>
          </w:p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40.235,69</w:t>
            </w:r>
          </w:p>
        </w:tc>
        <w:tc>
          <w:tcPr>
            <w:tcW w:w="2024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4225E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.23</w:t>
            </w:r>
            <w:r w:rsidR="005541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55418E">
              <w:rPr>
                <w:sz w:val="20"/>
                <w:szCs w:val="20"/>
              </w:rPr>
              <w:t>68</w:t>
            </w:r>
          </w:p>
        </w:tc>
      </w:tr>
      <w:tr w:rsidR="00314F09" w:rsidTr="00CF0385">
        <w:tc>
          <w:tcPr>
            <w:tcW w:w="5949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Plaćeni rashodi budućeg razdoblja i nedospjela naplata prihoda </w:t>
            </w:r>
          </w:p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84.404,70</w:t>
            </w:r>
          </w:p>
        </w:tc>
        <w:tc>
          <w:tcPr>
            <w:tcW w:w="2024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225ED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>.</w:t>
            </w:r>
            <w:r w:rsidR="004225ED">
              <w:rPr>
                <w:sz w:val="20"/>
                <w:szCs w:val="20"/>
              </w:rPr>
              <w:t>592,</w:t>
            </w:r>
            <w:r w:rsidR="0055418E">
              <w:rPr>
                <w:sz w:val="20"/>
                <w:szCs w:val="20"/>
              </w:rPr>
              <w:t>2</w:t>
            </w:r>
            <w:r w:rsidR="004225ED">
              <w:rPr>
                <w:sz w:val="20"/>
                <w:szCs w:val="20"/>
              </w:rPr>
              <w:t>0</w:t>
            </w:r>
          </w:p>
        </w:tc>
      </w:tr>
      <w:tr w:rsidR="00314F09" w:rsidTr="00E83EA2">
        <w:tc>
          <w:tcPr>
            <w:tcW w:w="5949" w:type="dxa"/>
            <w:shd w:val="clear" w:color="auto" w:fill="D0CECE" w:themeFill="background2" w:themeFillShade="E6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 xml:space="preserve">Obveze </w:t>
            </w:r>
          </w:p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314F09" w:rsidRPr="00E83EA2" w:rsidRDefault="00314F09" w:rsidP="00314F0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83EA2">
              <w:rPr>
                <w:b/>
                <w:bCs/>
                <w:sz w:val="20"/>
                <w:szCs w:val="20"/>
              </w:rPr>
              <w:t>3.564.61</w:t>
            </w:r>
            <w:r>
              <w:rPr>
                <w:b/>
                <w:bCs/>
                <w:sz w:val="20"/>
                <w:szCs w:val="20"/>
              </w:rPr>
              <w:t>7,54</w:t>
            </w:r>
          </w:p>
        </w:tc>
        <w:tc>
          <w:tcPr>
            <w:tcW w:w="2024" w:type="dxa"/>
            <w:shd w:val="clear" w:color="auto" w:fill="D0CECE" w:themeFill="background2" w:themeFillShade="E6"/>
          </w:tcPr>
          <w:p w:rsidR="00314F09" w:rsidRPr="00E83EA2" w:rsidRDefault="00314F09" w:rsidP="00314F0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4225ED">
              <w:rPr>
                <w:b/>
                <w:bCs/>
                <w:sz w:val="20"/>
                <w:szCs w:val="20"/>
              </w:rPr>
              <w:t>4</w:t>
            </w:r>
            <w:r w:rsidRPr="00E83EA2">
              <w:rPr>
                <w:b/>
                <w:bCs/>
                <w:sz w:val="20"/>
                <w:szCs w:val="20"/>
              </w:rPr>
              <w:t>.5</w:t>
            </w:r>
            <w:r w:rsidR="004225ED">
              <w:rPr>
                <w:b/>
                <w:bCs/>
                <w:sz w:val="20"/>
                <w:szCs w:val="20"/>
              </w:rPr>
              <w:t>31</w:t>
            </w:r>
            <w:r w:rsidRPr="00E83EA2">
              <w:rPr>
                <w:b/>
                <w:bCs/>
                <w:sz w:val="20"/>
                <w:szCs w:val="20"/>
              </w:rPr>
              <w:t>.</w:t>
            </w:r>
            <w:r w:rsidR="004225ED">
              <w:rPr>
                <w:b/>
                <w:bCs/>
                <w:sz w:val="20"/>
                <w:szCs w:val="20"/>
              </w:rPr>
              <w:t>35</w:t>
            </w:r>
            <w:r>
              <w:rPr>
                <w:b/>
                <w:bCs/>
                <w:sz w:val="20"/>
                <w:szCs w:val="20"/>
              </w:rPr>
              <w:t>7,</w:t>
            </w:r>
            <w:r w:rsidR="00BC1889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314F09" w:rsidTr="00CF0385">
        <w:tc>
          <w:tcPr>
            <w:tcW w:w="5949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Obveze za rashode poslovanja </w:t>
            </w:r>
          </w:p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764.614,16</w:t>
            </w:r>
          </w:p>
        </w:tc>
        <w:tc>
          <w:tcPr>
            <w:tcW w:w="2024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4225ED">
              <w:rPr>
                <w:sz w:val="20"/>
                <w:szCs w:val="20"/>
              </w:rPr>
              <w:t>1.456.373,</w:t>
            </w:r>
            <w:r w:rsidR="00BC1889">
              <w:rPr>
                <w:sz w:val="20"/>
                <w:szCs w:val="20"/>
              </w:rPr>
              <w:t>24</w:t>
            </w:r>
          </w:p>
        </w:tc>
      </w:tr>
      <w:tr w:rsidR="00314F09" w:rsidTr="00CF0385">
        <w:tc>
          <w:tcPr>
            <w:tcW w:w="5949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Obveze za nabavu nefinancijske imovine </w:t>
            </w:r>
          </w:p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2.800.003,38</w:t>
            </w:r>
          </w:p>
        </w:tc>
        <w:tc>
          <w:tcPr>
            <w:tcW w:w="2024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2.</w:t>
            </w:r>
            <w:r w:rsidR="004225ED">
              <w:rPr>
                <w:sz w:val="20"/>
                <w:szCs w:val="20"/>
              </w:rPr>
              <w:t>595</w:t>
            </w:r>
            <w:r>
              <w:rPr>
                <w:sz w:val="20"/>
                <w:szCs w:val="20"/>
              </w:rPr>
              <w:t>.</w:t>
            </w:r>
            <w:r w:rsidR="004225ED">
              <w:rPr>
                <w:sz w:val="20"/>
                <w:szCs w:val="20"/>
              </w:rPr>
              <w:t>66</w:t>
            </w:r>
            <w:r w:rsidR="00BC18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BC1889">
              <w:rPr>
                <w:sz w:val="20"/>
                <w:szCs w:val="20"/>
              </w:rPr>
              <w:t>62</w:t>
            </w:r>
          </w:p>
        </w:tc>
      </w:tr>
      <w:tr w:rsidR="00BC1889" w:rsidTr="00CF0385">
        <w:tc>
          <w:tcPr>
            <w:tcW w:w="5949" w:type="dxa"/>
          </w:tcPr>
          <w:p w:rsidR="00BC1889" w:rsidRPr="000E1BCB" w:rsidRDefault="00BC1889" w:rsidP="00BC188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Obveze za </w:t>
            </w:r>
            <w:r>
              <w:rPr>
                <w:sz w:val="20"/>
                <w:szCs w:val="20"/>
              </w:rPr>
              <w:t>kredite i zajmove</w:t>
            </w:r>
            <w:r w:rsidRPr="000E1BCB">
              <w:rPr>
                <w:sz w:val="20"/>
                <w:szCs w:val="20"/>
              </w:rPr>
              <w:t xml:space="preserve"> </w:t>
            </w:r>
          </w:p>
          <w:p w:rsidR="00BC1889" w:rsidRPr="000E1BCB" w:rsidRDefault="00BC188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1889" w:rsidRDefault="00BC188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0,00</w:t>
            </w:r>
          </w:p>
        </w:tc>
        <w:tc>
          <w:tcPr>
            <w:tcW w:w="2024" w:type="dxa"/>
          </w:tcPr>
          <w:p w:rsidR="00BC1889" w:rsidRDefault="00BC188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479.317,33</w:t>
            </w:r>
          </w:p>
        </w:tc>
      </w:tr>
      <w:tr w:rsidR="00314F09" w:rsidTr="00E83EA2">
        <w:tc>
          <w:tcPr>
            <w:tcW w:w="5949" w:type="dxa"/>
            <w:shd w:val="clear" w:color="auto" w:fill="D0CECE" w:themeFill="background2" w:themeFillShade="E6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 xml:space="preserve">Vlastiti izvori </w:t>
            </w:r>
          </w:p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314F09" w:rsidRPr="00E83EA2" w:rsidRDefault="00314F09" w:rsidP="00314F0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83EA2">
              <w:rPr>
                <w:b/>
                <w:bCs/>
                <w:sz w:val="20"/>
                <w:szCs w:val="20"/>
              </w:rPr>
              <w:t>88.408.556</w:t>
            </w:r>
            <w:r>
              <w:rPr>
                <w:b/>
                <w:bCs/>
                <w:sz w:val="20"/>
                <w:szCs w:val="20"/>
              </w:rPr>
              <w:t>,21</w:t>
            </w:r>
          </w:p>
        </w:tc>
        <w:tc>
          <w:tcPr>
            <w:tcW w:w="2024" w:type="dxa"/>
            <w:shd w:val="clear" w:color="auto" w:fill="D0CECE" w:themeFill="background2" w:themeFillShade="E6"/>
          </w:tcPr>
          <w:p w:rsidR="00314F09" w:rsidRPr="00E83EA2" w:rsidRDefault="00314F09" w:rsidP="00314F0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225ED">
              <w:rPr>
                <w:b/>
                <w:bCs/>
                <w:sz w:val="20"/>
                <w:szCs w:val="20"/>
              </w:rPr>
              <w:t>102</w:t>
            </w:r>
            <w:r w:rsidRPr="00E83EA2">
              <w:rPr>
                <w:b/>
                <w:bCs/>
                <w:sz w:val="20"/>
                <w:szCs w:val="20"/>
              </w:rPr>
              <w:t>.</w:t>
            </w:r>
            <w:r w:rsidR="004225ED">
              <w:rPr>
                <w:b/>
                <w:bCs/>
                <w:sz w:val="20"/>
                <w:szCs w:val="20"/>
              </w:rPr>
              <w:t>311</w:t>
            </w:r>
            <w:r w:rsidRPr="00E83EA2">
              <w:rPr>
                <w:b/>
                <w:bCs/>
                <w:sz w:val="20"/>
                <w:szCs w:val="20"/>
              </w:rPr>
              <w:t>.5</w:t>
            </w:r>
            <w:r w:rsidR="004225ED">
              <w:rPr>
                <w:b/>
                <w:bCs/>
                <w:sz w:val="20"/>
                <w:szCs w:val="20"/>
              </w:rPr>
              <w:t>8</w:t>
            </w:r>
            <w:r w:rsidR="00BC188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BC1889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314F09" w:rsidTr="00CF0385">
        <w:tc>
          <w:tcPr>
            <w:tcW w:w="5949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Vlastiti izvori i ispravak vlastitih izvora </w:t>
            </w:r>
          </w:p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86.921.200,76</w:t>
            </w:r>
          </w:p>
        </w:tc>
        <w:tc>
          <w:tcPr>
            <w:tcW w:w="2024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225ED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.</w:t>
            </w:r>
            <w:r w:rsidR="004225ED">
              <w:rPr>
                <w:sz w:val="20"/>
                <w:szCs w:val="20"/>
              </w:rPr>
              <w:t>564</w:t>
            </w:r>
            <w:r>
              <w:rPr>
                <w:sz w:val="20"/>
                <w:szCs w:val="20"/>
              </w:rPr>
              <w:t>.</w:t>
            </w:r>
            <w:r w:rsidR="004225ED">
              <w:rPr>
                <w:sz w:val="20"/>
                <w:szCs w:val="20"/>
              </w:rPr>
              <w:t>47</w:t>
            </w:r>
            <w:r w:rsidR="00BC18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BC1889">
              <w:rPr>
                <w:sz w:val="20"/>
                <w:szCs w:val="20"/>
              </w:rPr>
              <w:t>97</w:t>
            </w:r>
          </w:p>
        </w:tc>
      </w:tr>
      <w:tr w:rsidR="00314F09" w:rsidTr="00CF0385">
        <w:tc>
          <w:tcPr>
            <w:tcW w:w="5949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Rezultat poslovanja </w:t>
            </w:r>
          </w:p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-3.002.886,27</w:t>
            </w:r>
          </w:p>
        </w:tc>
        <w:tc>
          <w:tcPr>
            <w:tcW w:w="2024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-3.</w:t>
            </w:r>
            <w:r w:rsidR="00C679B3">
              <w:rPr>
                <w:sz w:val="20"/>
                <w:szCs w:val="20"/>
              </w:rPr>
              <w:t>896</w:t>
            </w:r>
            <w:r>
              <w:rPr>
                <w:sz w:val="20"/>
                <w:szCs w:val="20"/>
              </w:rPr>
              <w:t>.</w:t>
            </w:r>
            <w:r w:rsidR="00C679B3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8,</w:t>
            </w:r>
            <w:r w:rsidR="00C679B3">
              <w:rPr>
                <w:sz w:val="20"/>
                <w:szCs w:val="20"/>
              </w:rPr>
              <w:t>64</w:t>
            </w:r>
          </w:p>
        </w:tc>
      </w:tr>
      <w:tr w:rsidR="00314F09" w:rsidTr="00CF0385">
        <w:tc>
          <w:tcPr>
            <w:tcW w:w="5949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Obračunati prihodi poslovanja </w:t>
            </w:r>
          </w:p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4.450.006,03</w:t>
            </w:r>
          </w:p>
        </w:tc>
        <w:tc>
          <w:tcPr>
            <w:tcW w:w="2024" w:type="dxa"/>
          </w:tcPr>
          <w:p w:rsidR="00314F09" w:rsidRPr="000E1BCB" w:rsidRDefault="00314F09" w:rsidP="00314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C18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C1889">
              <w:rPr>
                <w:sz w:val="20"/>
                <w:szCs w:val="20"/>
              </w:rPr>
              <w:t>601</w:t>
            </w:r>
            <w:r>
              <w:rPr>
                <w:sz w:val="20"/>
                <w:szCs w:val="20"/>
              </w:rPr>
              <w:t>.</w:t>
            </w:r>
            <w:r w:rsidR="004225ED">
              <w:rPr>
                <w:sz w:val="20"/>
                <w:szCs w:val="20"/>
              </w:rPr>
              <w:t>4</w:t>
            </w:r>
            <w:r w:rsidR="00BC1889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</w:t>
            </w:r>
            <w:r w:rsidR="00BC1889">
              <w:rPr>
                <w:sz w:val="20"/>
                <w:szCs w:val="20"/>
              </w:rPr>
              <w:t>14</w:t>
            </w:r>
          </w:p>
        </w:tc>
      </w:tr>
      <w:tr w:rsidR="003065B2" w:rsidTr="00CF0385">
        <w:tc>
          <w:tcPr>
            <w:tcW w:w="5949" w:type="dxa"/>
          </w:tcPr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Obračunati prihodi od prodaje nefinancijske imovine </w:t>
            </w:r>
          </w:p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065B2" w:rsidRPr="000E1BCB" w:rsidRDefault="00314F09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40.235,69</w:t>
            </w:r>
          </w:p>
        </w:tc>
        <w:tc>
          <w:tcPr>
            <w:tcW w:w="2024" w:type="dxa"/>
          </w:tcPr>
          <w:p w:rsidR="003065B2" w:rsidRPr="000E1BCB" w:rsidRDefault="000B0297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225E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.23</w:t>
            </w:r>
            <w:r w:rsidR="004225ED">
              <w:rPr>
                <w:sz w:val="20"/>
                <w:szCs w:val="20"/>
              </w:rPr>
              <w:t>3</w:t>
            </w:r>
            <w:r w:rsidR="000B7826">
              <w:rPr>
                <w:sz w:val="20"/>
                <w:szCs w:val="20"/>
              </w:rPr>
              <w:t>,</w:t>
            </w:r>
            <w:r w:rsidR="004225ED">
              <w:rPr>
                <w:sz w:val="20"/>
                <w:szCs w:val="20"/>
              </w:rPr>
              <w:t>00</w:t>
            </w:r>
          </w:p>
        </w:tc>
      </w:tr>
      <w:tr w:rsidR="003065B2" w:rsidTr="00CF0385">
        <w:tc>
          <w:tcPr>
            <w:tcW w:w="5949" w:type="dxa"/>
          </w:tcPr>
          <w:p w:rsidR="003065B2" w:rsidRPr="000E1BCB" w:rsidRDefault="0000506C" w:rsidP="003065B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Izvanbilančni zapisi</w:t>
            </w:r>
          </w:p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065B2" w:rsidRPr="000E1BCB" w:rsidRDefault="000B0297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330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</w:t>
            </w:r>
            <w:r w:rsidR="00314F09">
              <w:rPr>
                <w:sz w:val="20"/>
                <w:szCs w:val="20"/>
              </w:rPr>
              <w:t>120.622,95</w:t>
            </w:r>
          </w:p>
        </w:tc>
        <w:tc>
          <w:tcPr>
            <w:tcW w:w="2024" w:type="dxa"/>
          </w:tcPr>
          <w:p w:rsidR="003065B2" w:rsidRPr="000E1BCB" w:rsidRDefault="000B0297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225ED">
              <w:rPr>
                <w:sz w:val="20"/>
                <w:szCs w:val="20"/>
              </w:rPr>
              <w:t>7.362.232,</w:t>
            </w:r>
            <w:r w:rsidR="00BC1889">
              <w:rPr>
                <w:sz w:val="20"/>
                <w:szCs w:val="20"/>
              </w:rPr>
              <w:t>11</w:t>
            </w:r>
          </w:p>
        </w:tc>
      </w:tr>
    </w:tbl>
    <w:p w:rsidR="003F237D" w:rsidRDefault="003F237D" w:rsidP="003F237D">
      <w:pPr>
        <w:pStyle w:val="Default"/>
        <w:rPr>
          <w:sz w:val="22"/>
          <w:szCs w:val="22"/>
        </w:rPr>
      </w:pPr>
    </w:p>
    <w:p w:rsidR="003F237D" w:rsidRDefault="003F237D" w:rsidP="003F237D">
      <w:pPr>
        <w:pStyle w:val="Default"/>
        <w:rPr>
          <w:sz w:val="22"/>
          <w:szCs w:val="22"/>
        </w:rPr>
      </w:pPr>
    </w:p>
    <w:p w:rsidR="00415016" w:rsidRDefault="003F237D" w:rsidP="003F23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Nefinancijska imovina </w:t>
      </w:r>
    </w:p>
    <w:p w:rsidR="00502E11" w:rsidRDefault="00502E11" w:rsidP="003F237D">
      <w:pPr>
        <w:pStyle w:val="Default"/>
        <w:rPr>
          <w:sz w:val="22"/>
          <w:szCs w:val="22"/>
        </w:rPr>
      </w:pPr>
    </w:p>
    <w:p w:rsidR="00415016" w:rsidRDefault="00415016" w:rsidP="003F237D">
      <w:pPr>
        <w:pStyle w:val="Default"/>
        <w:rPr>
          <w:sz w:val="22"/>
          <w:szCs w:val="22"/>
        </w:rPr>
      </w:pPr>
    </w:p>
    <w:p w:rsidR="0007124A" w:rsidRDefault="003F237D" w:rsidP="00817500">
      <w:pPr>
        <w:pStyle w:val="Default"/>
        <w:ind w:firstLine="708"/>
      </w:pPr>
      <w:r>
        <w:rPr>
          <w:sz w:val="22"/>
          <w:szCs w:val="22"/>
        </w:rPr>
        <w:t xml:space="preserve">Nefinancijska imovina čini </w:t>
      </w:r>
      <w:r w:rsidR="009E525C">
        <w:rPr>
          <w:sz w:val="22"/>
          <w:szCs w:val="22"/>
        </w:rPr>
        <w:t>93,07</w:t>
      </w:r>
      <w:r>
        <w:rPr>
          <w:sz w:val="22"/>
          <w:szCs w:val="22"/>
        </w:rPr>
        <w:t xml:space="preserve">% aktive, a </w:t>
      </w:r>
      <w:r w:rsidR="009E525C">
        <w:rPr>
          <w:sz w:val="22"/>
          <w:szCs w:val="22"/>
        </w:rPr>
        <w:t>61,25</w:t>
      </w:r>
      <w:r>
        <w:rPr>
          <w:sz w:val="22"/>
          <w:szCs w:val="22"/>
        </w:rPr>
        <w:t>% vrijednosti se odnosi na građevinske objekte kao što</w:t>
      </w:r>
      <w:r w:rsidR="006428B1"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 poslovni objekti, ceste, javna rasvjeta</w:t>
      </w:r>
      <w:r w:rsidR="005D41D2">
        <w:rPr>
          <w:sz w:val="22"/>
          <w:szCs w:val="22"/>
        </w:rPr>
        <w:t>.</w:t>
      </w:r>
      <w:r>
        <w:rPr>
          <w:sz w:val="22"/>
          <w:szCs w:val="22"/>
        </w:rPr>
        <w:t xml:space="preserve"> U odnosu na 20</w:t>
      </w:r>
      <w:r w:rsidR="0007124A">
        <w:rPr>
          <w:sz w:val="22"/>
          <w:szCs w:val="22"/>
        </w:rPr>
        <w:t>20</w:t>
      </w:r>
      <w:r>
        <w:rPr>
          <w:sz w:val="22"/>
          <w:szCs w:val="22"/>
        </w:rPr>
        <w:t>. godin</w:t>
      </w:r>
      <w:r w:rsidR="009E525C">
        <w:rPr>
          <w:sz w:val="22"/>
          <w:szCs w:val="22"/>
        </w:rPr>
        <w:t xml:space="preserve">i </w:t>
      </w:r>
      <w:r>
        <w:rPr>
          <w:sz w:val="22"/>
          <w:szCs w:val="22"/>
        </w:rPr>
        <w:t>značajnije je povećana</w:t>
      </w:r>
      <w:r w:rsidR="00817500">
        <w:rPr>
          <w:sz w:val="22"/>
          <w:szCs w:val="22"/>
        </w:rPr>
        <w:t xml:space="preserve"> vrijednost</w:t>
      </w:r>
      <w:r>
        <w:rPr>
          <w:sz w:val="22"/>
          <w:szCs w:val="22"/>
        </w:rPr>
        <w:t xml:space="preserve"> </w:t>
      </w:r>
      <w:r w:rsidR="00817500">
        <w:rPr>
          <w:sz w:val="22"/>
          <w:szCs w:val="22"/>
        </w:rPr>
        <w:t>poslovnih objekata</w:t>
      </w:r>
      <w:r w:rsidR="001E511D">
        <w:rPr>
          <w:sz w:val="22"/>
          <w:szCs w:val="22"/>
        </w:rPr>
        <w:t>.</w:t>
      </w:r>
      <w:r w:rsidR="00817500">
        <w:rPr>
          <w:sz w:val="22"/>
          <w:szCs w:val="22"/>
        </w:rPr>
        <w:t xml:space="preserve"> </w:t>
      </w:r>
      <w:r w:rsidR="0007124A" w:rsidRPr="0007124A">
        <w:rPr>
          <w:sz w:val="22"/>
          <w:szCs w:val="22"/>
        </w:rPr>
        <w:t>Vrijednost neproizvedene dugotrajne imovine na dan 31.12.2020. godine iznosi 38.528.35</w:t>
      </w:r>
      <w:r w:rsidR="00817500">
        <w:rPr>
          <w:sz w:val="22"/>
          <w:szCs w:val="22"/>
        </w:rPr>
        <w:t xml:space="preserve">4,56 </w:t>
      </w:r>
      <w:r w:rsidR="0007124A" w:rsidRPr="0007124A">
        <w:rPr>
          <w:sz w:val="22"/>
          <w:szCs w:val="22"/>
        </w:rPr>
        <w:t>kn i neznatno je povećana u odnosu na stanje sa 01.01.2020.godine</w:t>
      </w:r>
      <w:r w:rsidR="0007124A">
        <w:rPr>
          <w:sz w:val="22"/>
          <w:szCs w:val="22"/>
        </w:rPr>
        <w:t>.</w:t>
      </w:r>
      <w:r w:rsidR="0007124A" w:rsidRPr="0007124A">
        <w:rPr>
          <w:sz w:val="22"/>
          <w:szCs w:val="22"/>
        </w:rPr>
        <w:t xml:space="preserve"> Vrijednost proizvedene dugotrajne imovine </w:t>
      </w:r>
      <w:r w:rsidR="0007124A">
        <w:rPr>
          <w:sz w:val="22"/>
          <w:szCs w:val="22"/>
        </w:rPr>
        <w:t>n</w:t>
      </w:r>
      <w:r w:rsidR="0007124A" w:rsidRPr="0007124A">
        <w:rPr>
          <w:sz w:val="22"/>
          <w:szCs w:val="22"/>
        </w:rPr>
        <w:t>a dan 31. prosinca 2020. godine iznosi 60.912.034 kn s povećanjem od 15.071.799</w:t>
      </w:r>
      <w:r w:rsidR="00817500">
        <w:rPr>
          <w:sz w:val="22"/>
          <w:szCs w:val="22"/>
        </w:rPr>
        <w:t>,47</w:t>
      </w:r>
      <w:r w:rsidR="0007124A" w:rsidRPr="0007124A">
        <w:rPr>
          <w:sz w:val="22"/>
          <w:szCs w:val="22"/>
        </w:rPr>
        <w:t xml:space="preserve"> kn ili 32,90% u odnosu na stanje 01. siječnja 2020. godine. Vrijednost građevinskih objekata na dan 31. prosinca 2020. godine iznosi 53.065.376 kn s povećanjem od 45,10% u odnosu na stanje 01. siječnja 2020. godine. Na to povećanje najviše je utjecalo povećanje poslovnih objekata koji iznose 16.429.125 kn i povećani su u odnosu na stanje sa 01.01.2020.godine za 456,70% ( Na temelju interne procjene evidentirane su zgrada općinske vijećnice, zgrada općinske uprave i zgrada dječjeg vrtića ). </w:t>
      </w:r>
    </w:p>
    <w:p w:rsidR="00BE057A" w:rsidRPr="0007124A" w:rsidRDefault="00BE057A" w:rsidP="003F237D">
      <w:pPr>
        <w:pStyle w:val="Default"/>
        <w:rPr>
          <w:sz w:val="22"/>
          <w:szCs w:val="22"/>
        </w:rPr>
      </w:pPr>
    </w:p>
    <w:p w:rsidR="00415016" w:rsidRDefault="00BE057A" w:rsidP="00BE05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Financijska imovina</w:t>
      </w:r>
      <w:r w:rsidR="001B2414">
        <w:rPr>
          <w:sz w:val="22"/>
          <w:szCs w:val="22"/>
        </w:rPr>
        <w:t xml:space="preserve"> </w:t>
      </w:r>
    </w:p>
    <w:p w:rsidR="00502E11" w:rsidRDefault="00502E11" w:rsidP="00BE057A">
      <w:pPr>
        <w:pStyle w:val="Default"/>
        <w:rPr>
          <w:sz w:val="22"/>
          <w:szCs w:val="22"/>
        </w:rPr>
      </w:pPr>
    </w:p>
    <w:p w:rsidR="00415016" w:rsidRDefault="00415016" w:rsidP="00BE057A">
      <w:pPr>
        <w:pStyle w:val="Default"/>
        <w:rPr>
          <w:sz w:val="22"/>
          <w:szCs w:val="22"/>
        </w:rPr>
      </w:pPr>
    </w:p>
    <w:p w:rsidR="00BE057A" w:rsidRDefault="00F73782" w:rsidP="00D448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Pr="00AA3CBB">
        <w:rPr>
          <w:sz w:val="22"/>
          <w:szCs w:val="22"/>
        </w:rPr>
        <w:t>Financijska imovina na dan 31.12.2020.godine iznosi 7.402.549,59 kn i manja je u odnosu na početak godine za 218.240,46 kn. Financijska imovina je smanjenja najvećim dijelom zbog smanjenja novca u banci i blagajni  za 386.665,06 kn a manjim dijelom smanjenje depozita, jamčevni polozi i potraživanja od zaposlenih te za više plaćene poreze i ostalo i smanjenje dionica i udjela u glavnici (</w:t>
      </w:r>
      <w:r w:rsidR="00057819" w:rsidRPr="00AA3CBB">
        <w:rPr>
          <w:sz w:val="22"/>
          <w:szCs w:val="22"/>
        </w:rPr>
        <w:t>d</w:t>
      </w:r>
      <w:r w:rsidR="00057819" w:rsidRPr="00AA3CBB">
        <w:rPr>
          <w:color w:val="000000" w:themeColor="text1"/>
          <w:sz w:val="22"/>
          <w:szCs w:val="22"/>
        </w:rPr>
        <w:t>ionice i udjeli u glavnici smanjeni su u 2020.godini za 20.000 kn jer je odlukom trgovačkog suda ugašeno poduzeće Tučepljanac d.o.o.</w:t>
      </w:r>
      <w:r w:rsidRPr="00AA3CBB">
        <w:rPr>
          <w:sz w:val="22"/>
          <w:szCs w:val="22"/>
        </w:rPr>
        <w:t>). U isto vrijeme došlo je do povećanja potraživanja za 1</w:t>
      </w:r>
      <w:r w:rsidR="007F4F8B">
        <w:rPr>
          <w:sz w:val="22"/>
          <w:szCs w:val="22"/>
        </w:rPr>
        <w:t>53</w:t>
      </w:r>
      <w:r w:rsidRPr="00AA3CBB">
        <w:rPr>
          <w:sz w:val="22"/>
          <w:szCs w:val="22"/>
        </w:rPr>
        <w:t>.36</w:t>
      </w:r>
      <w:r w:rsidR="007F4F8B">
        <w:rPr>
          <w:sz w:val="22"/>
          <w:szCs w:val="22"/>
        </w:rPr>
        <w:t>6,36</w:t>
      </w:r>
      <w:r w:rsidRPr="00AA3CBB">
        <w:rPr>
          <w:sz w:val="22"/>
          <w:szCs w:val="22"/>
        </w:rPr>
        <w:t xml:space="preserve"> kn u odnosu na početak godine. </w:t>
      </w:r>
      <w:r w:rsidR="00AA3CBB" w:rsidRPr="00AA3CBB">
        <w:rPr>
          <w:sz w:val="22"/>
          <w:szCs w:val="22"/>
        </w:rPr>
        <w:t>Ukupna p</w:t>
      </w:r>
      <w:r w:rsidR="00BE057A" w:rsidRPr="00AA3CBB">
        <w:rPr>
          <w:sz w:val="22"/>
          <w:szCs w:val="22"/>
        </w:rPr>
        <w:t xml:space="preserve">otraživanja u </w:t>
      </w:r>
      <w:r w:rsidR="005D41D2" w:rsidRPr="00AA3CBB">
        <w:rPr>
          <w:sz w:val="22"/>
          <w:szCs w:val="22"/>
        </w:rPr>
        <w:t>sa 31.12.</w:t>
      </w:r>
      <w:r w:rsidR="00BE057A" w:rsidRPr="00AA3CBB">
        <w:rPr>
          <w:sz w:val="22"/>
          <w:szCs w:val="22"/>
        </w:rPr>
        <w:t>20</w:t>
      </w:r>
      <w:r w:rsidR="007D6997" w:rsidRPr="00AA3CBB">
        <w:rPr>
          <w:sz w:val="22"/>
          <w:szCs w:val="22"/>
        </w:rPr>
        <w:t>20</w:t>
      </w:r>
      <w:r w:rsidR="00BE057A" w:rsidRPr="00AA3CBB">
        <w:rPr>
          <w:sz w:val="22"/>
          <w:szCs w:val="22"/>
        </w:rPr>
        <w:t xml:space="preserve">. godine iskazana u iznosu od </w:t>
      </w:r>
      <w:r w:rsidR="00817500" w:rsidRPr="00AA3CBB">
        <w:rPr>
          <w:sz w:val="22"/>
          <w:szCs w:val="22"/>
        </w:rPr>
        <w:t>4</w:t>
      </w:r>
      <w:r w:rsidR="00BE057A" w:rsidRPr="00AA3CBB">
        <w:rPr>
          <w:sz w:val="22"/>
          <w:szCs w:val="22"/>
        </w:rPr>
        <w:t>.</w:t>
      </w:r>
      <w:r w:rsidR="00AA3CBB" w:rsidRPr="00AA3CBB">
        <w:rPr>
          <w:sz w:val="22"/>
          <w:szCs w:val="22"/>
        </w:rPr>
        <w:t>643</w:t>
      </w:r>
      <w:r w:rsidR="00BE057A" w:rsidRPr="00AA3CBB">
        <w:rPr>
          <w:sz w:val="22"/>
          <w:szCs w:val="22"/>
        </w:rPr>
        <w:t>.</w:t>
      </w:r>
      <w:r w:rsidR="00AA3CBB" w:rsidRPr="00AA3CBB">
        <w:rPr>
          <w:sz w:val="22"/>
          <w:szCs w:val="22"/>
        </w:rPr>
        <w:t>607,98</w:t>
      </w:r>
      <w:r w:rsidR="00BE057A" w:rsidRPr="00AA3CBB">
        <w:rPr>
          <w:sz w:val="22"/>
          <w:szCs w:val="22"/>
        </w:rPr>
        <w:t xml:space="preserve"> kn, a odnose se na</w:t>
      </w:r>
      <w:r w:rsidR="00D44828">
        <w:rPr>
          <w:sz w:val="22"/>
          <w:szCs w:val="22"/>
        </w:rPr>
        <w:t xml:space="preserve"> </w:t>
      </w:r>
      <w:r w:rsidR="00BE057A" w:rsidRPr="00AA3CBB">
        <w:rPr>
          <w:sz w:val="22"/>
          <w:szCs w:val="22"/>
        </w:rPr>
        <w:t xml:space="preserve"> potraživanja za prihode poslovanja u iznosu od </w:t>
      </w:r>
      <w:r w:rsidR="00AA3CBB" w:rsidRPr="00AA3CBB">
        <w:rPr>
          <w:sz w:val="22"/>
          <w:szCs w:val="22"/>
        </w:rPr>
        <w:t>4</w:t>
      </w:r>
      <w:r w:rsidR="00BE057A" w:rsidRPr="00AA3CBB">
        <w:rPr>
          <w:sz w:val="22"/>
          <w:szCs w:val="22"/>
        </w:rPr>
        <w:t>.</w:t>
      </w:r>
      <w:r w:rsidR="00AA3CBB" w:rsidRPr="00AA3CBB">
        <w:rPr>
          <w:sz w:val="22"/>
          <w:szCs w:val="22"/>
        </w:rPr>
        <w:t>581</w:t>
      </w:r>
      <w:r w:rsidR="00BE057A" w:rsidRPr="00AA3CBB">
        <w:rPr>
          <w:sz w:val="22"/>
          <w:szCs w:val="22"/>
        </w:rPr>
        <w:t>.</w:t>
      </w:r>
      <w:r w:rsidR="00AA3CBB" w:rsidRPr="00AA3CBB">
        <w:rPr>
          <w:sz w:val="22"/>
          <w:szCs w:val="22"/>
        </w:rPr>
        <w:t>375,30</w:t>
      </w:r>
      <w:r w:rsidR="00BE057A" w:rsidRPr="00AA3CBB">
        <w:rPr>
          <w:sz w:val="22"/>
          <w:szCs w:val="22"/>
        </w:rPr>
        <w:t xml:space="preserve"> kn</w:t>
      </w:r>
      <w:r w:rsidR="00D44828">
        <w:rPr>
          <w:sz w:val="22"/>
          <w:szCs w:val="22"/>
        </w:rPr>
        <w:t xml:space="preserve"> i </w:t>
      </w:r>
      <w:r w:rsidR="00BE057A" w:rsidRPr="00AA3CBB">
        <w:rPr>
          <w:sz w:val="22"/>
          <w:szCs w:val="22"/>
        </w:rPr>
        <w:t xml:space="preserve">potraživanja od prodaje nefinancijske imovine u iznosu od </w:t>
      </w:r>
      <w:r w:rsidR="00AA3CBB" w:rsidRPr="00AA3CBB">
        <w:rPr>
          <w:sz w:val="22"/>
          <w:szCs w:val="22"/>
        </w:rPr>
        <w:t>62</w:t>
      </w:r>
      <w:r w:rsidR="00BE057A" w:rsidRPr="00AA3CBB">
        <w:rPr>
          <w:sz w:val="22"/>
          <w:szCs w:val="22"/>
        </w:rPr>
        <w:t>.</w:t>
      </w:r>
      <w:r w:rsidR="005D41D2" w:rsidRPr="00AA3CBB">
        <w:rPr>
          <w:sz w:val="22"/>
          <w:szCs w:val="22"/>
        </w:rPr>
        <w:t>23</w:t>
      </w:r>
      <w:r w:rsidR="00AA3CBB" w:rsidRPr="00AA3CBB">
        <w:rPr>
          <w:sz w:val="22"/>
          <w:szCs w:val="22"/>
        </w:rPr>
        <w:t>2</w:t>
      </w:r>
      <w:r w:rsidR="001F2944" w:rsidRPr="00AA3CBB">
        <w:rPr>
          <w:sz w:val="22"/>
          <w:szCs w:val="22"/>
        </w:rPr>
        <w:t>,6</w:t>
      </w:r>
      <w:r w:rsidR="00AA3CBB" w:rsidRPr="00AA3CBB">
        <w:rPr>
          <w:sz w:val="22"/>
          <w:szCs w:val="22"/>
        </w:rPr>
        <w:t>8</w:t>
      </w:r>
      <w:r w:rsidR="00BE057A" w:rsidRPr="00AA3CBB">
        <w:rPr>
          <w:sz w:val="22"/>
          <w:szCs w:val="22"/>
        </w:rPr>
        <w:t xml:space="preserve"> kn. Potraživanja za prihode poslovanja su u odnosu na početak godine </w:t>
      </w:r>
      <w:r w:rsidR="001B2CD5" w:rsidRPr="00AA3CBB">
        <w:rPr>
          <w:sz w:val="22"/>
          <w:szCs w:val="22"/>
        </w:rPr>
        <w:t xml:space="preserve">veća </w:t>
      </w:r>
      <w:r w:rsidR="00D44828">
        <w:rPr>
          <w:sz w:val="22"/>
          <w:szCs w:val="22"/>
        </w:rPr>
        <w:t xml:space="preserve">za 131.369,37 kn. </w:t>
      </w:r>
      <w:r w:rsidR="00BE057A" w:rsidRPr="00AA3CBB">
        <w:rPr>
          <w:sz w:val="22"/>
          <w:szCs w:val="22"/>
        </w:rPr>
        <w:t xml:space="preserve">Potraživanja od prodaje </w:t>
      </w:r>
      <w:r w:rsidR="00F45E27">
        <w:rPr>
          <w:sz w:val="22"/>
          <w:szCs w:val="22"/>
        </w:rPr>
        <w:t>n</w:t>
      </w:r>
      <w:r w:rsidR="00BE057A" w:rsidRPr="00AA3CBB">
        <w:rPr>
          <w:sz w:val="22"/>
          <w:szCs w:val="22"/>
        </w:rPr>
        <w:t xml:space="preserve">efinancijske imovine su u odnosu na početak godine veća za </w:t>
      </w:r>
      <w:r w:rsidR="002F4295" w:rsidRPr="00AA3CBB">
        <w:rPr>
          <w:sz w:val="22"/>
          <w:szCs w:val="22"/>
        </w:rPr>
        <w:t>21</w:t>
      </w:r>
      <w:r w:rsidR="00BE057A" w:rsidRPr="00AA3CBB">
        <w:rPr>
          <w:sz w:val="22"/>
          <w:szCs w:val="22"/>
        </w:rPr>
        <w:t>.</w:t>
      </w:r>
      <w:r w:rsidR="002F4295" w:rsidRPr="00AA3CBB">
        <w:rPr>
          <w:sz w:val="22"/>
          <w:szCs w:val="22"/>
        </w:rPr>
        <w:t>996,99</w:t>
      </w:r>
      <w:r w:rsidR="00BE057A" w:rsidRPr="00AA3CBB">
        <w:rPr>
          <w:sz w:val="22"/>
          <w:szCs w:val="22"/>
        </w:rPr>
        <w:t xml:space="preserve"> kn, a odnose se na potraživanja za </w:t>
      </w:r>
      <w:r w:rsidR="000D18F8" w:rsidRPr="00AA3CBB">
        <w:rPr>
          <w:sz w:val="22"/>
          <w:szCs w:val="22"/>
        </w:rPr>
        <w:t xml:space="preserve">prodaju zemljišta </w:t>
      </w:r>
      <w:r w:rsidR="00BC1B8A" w:rsidRPr="00AA3CBB">
        <w:rPr>
          <w:sz w:val="22"/>
          <w:szCs w:val="22"/>
        </w:rPr>
        <w:t>po ugovoru iz 2017.godine.</w:t>
      </w:r>
      <w:r w:rsidR="00BE057A" w:rsidRPr="00AA3CBB">
        <w:rPr>
          <w:sz w:val="22"/>
          <w:szCs w:val="22"/>
        </w:rPr>
        <w:t xml:space="preserve"> </w:t>
      </w:r>
    </w:p>
    <w:p w:rsidR="00502E11" w:rsidRPr="00AA3CBB" w:rsidRDefault="00502E11" w:rsidP="00D44828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</w:p>
    <w:p w:rsidR="00415016" w:rsidRDefault="00BE057A" w:rsidP="00BE05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Obveze </w:t>
      </w:r>
      <w:r w:rsidR="001B2414">
        <w:rPr>
          <w:sz w:val="22"/>
          <w:szCs w:val="22"/>
        </w:rPr>
        <w:t xml:space="preserve"> </w:t>
      </w:r>
    </w:p>
    <w:p w:rsidR="00415016" w:rsidRDefault="00415016" w:rsidP="00BE057A">
      <w:pPr>
        <w:pStyle w:val="Default"/>
        <w:rPr>
          <w:sz w:val="22"/>
          <w:szCs w:val="22"/>
        </w:rPr>
      </w:pPr>
    </w:p>
    <w:p w:rsidR="00D622EA" w:rsidRDefault="00BE057A" w:rsidP="0041501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Obveze su </w:t>
      </w:r>
      <w:r w:rsidR="002F36E7">
        <w:rPr>
          <w:sz w:val="22"/>
          <w:szCs w:val="22"/>
        </w:rPr>
        <w:t>na dan 31.12.</w:t>
      </w:r>
      <w:r>
        <w:rPr>
          <w:sz w:val="22"/>
          <w:szCs w:val="22"/>
        </w:rPr>
        <w:t>20</w:t>
      </w:r>
      <w:r w:rsidR="007D6997">
        <w:rPr>
          <w:sz w:val="22"/>
          <w:szCs w:val="22"/>
        </w:rPr>
        <w:t>20</w:t>
      </w:r>
      <w:r>
        <w:rPr>
          <w:sz w:val="22"/>
          <w:szCs w:val="22"/>
        </w:rPr>
        <w:t xml:space="preserve">. godine </w:t>
      </w:r>
      <w:r w:rsidR="00D31979">
        <w:rPr>
          <w:sz w:val="22"/>
          <w:szCs w:val="22"/>
        </w:rPr>
        <w:t xml:space="preserve">su </w:t>
      </w:r>
      <w:r>
        <w:rPr>
          <w:sz w:val="22"/>
          <w:szCs w:val="22"/>
        </w:rPr>
        <w:t xml:space="preserve">za </w:t>
      </w:r>
      <w:r w:rsidR="00D31979">
        <w:rPr>
          <w:sz w:val="22"/>
          <w:szCs w:val="22"/>
        </w:rPr>
        <w:t>966</w:t>
      </w:r>
      <w:r w:rsidR="00E6342B">
        <w:rPr>
          <w:sz w:val="22"/>
          <w:szCs w:val="22"/>
        </w:rPr>
        <w:t>.</w:t>
      </w:r>
      <w:r w:rsidR="00D31979">
        <w:rPr>
          <w:sz w:val="22"/>
          <w:szCs w:val="22"/>
        </w:rPr>
        <w:t xml:space="preserve">739,65 </w:t>
      </w:r>
      <w:r>
        <w:rPr>
          <w:sz w:val="22"/>
          <w:szCs w:val="22"/>
        </w:rPr>
        <w:t xml:space="preserve">kn </w:t>
      </w:r>
      <w:r w:rsidR="002F36E7">
        <w:rPr>
          <w:sz w:val="22"/>
          <w:szCs w:val="22"/>
        </w:rPr>
        <w:t xml:space="preserve">veće </w:t>
      </w:r>
      <w:r>
        <w:rPr>
          <w:sz w:val="22"/>
          <w:szCs w:val="22"/>
        </w:rPr>
        <w:t xml:space="preserve">u odnosu na početak godine te iznose </w:t>
      </w:r>
      <w:r w:rsidR="00CB53E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B53E2">
        <w:rPr>
          <w:sz w:val="22"/>
          <w:szCs w:val="22"/>
        </w:rPr>
        <w:t>531</w:t>
      </w:r>
      <w:r w:rsidR="002F36E7">
        <w:rPr>
          <w:sz w:val="22"/>
          <w:szCs w:val="22"/>
        </w:rPr>
        <w:t>.</w:t>
      </w:r>
      <w:r w:rsidR="00CB53E2">
        <w:rPr>
          <w:sz w:val="22"/>
          <w:szCs w:val="22"/>
        </w:rPr>
        <w:t>357,19</w:t>
      </w:r>
      <w:r w:rsidR="00E634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kn, a odnose se na obveze za rashode poslovanja u iznosu od </w:t>
      </w:r>
      <w:r w:rsidR="00D31979">
        <w:rPr>
          <w:sz w:val="22"/>
          <w:szCs w:val="22"/>
        </w:rPr>
        <w:t>1.456.373,24</w:t>
      </w:r>
      <w:r>
        <w:rPr>
          <w:sz w:val="22"/>
          <w:szCs w:val="22"/>
        </w:rPr>
        <w:t xml:space="preserve"> kn</w:t>
      </w:r>
      <w:r w:rsidR="00D31979">
        <w:rPr>
          <w:sz w:val="22"/>
          <w:szCs w:val="22"/>
        </w:rPr>
        <w:t>, obveze za kredite i zajmove u iznosu od 479.317,33 kn (</w:t>
      </w:r>
      <w:r w:rsidR="00D31979" w:rsidRPr="00D31979">
        <w:rPr>
          <w:sz w:val="22"/>
          <w:szCs w:val="22"/>
        </w:rPr>
        <w:t>obveze prema Ministarstvu financija koji se odnosi na beskamatni zajam u visini poreza na dohodak i prireza porezu na dohodak čije je plaćanje odgođeno i beskamatni zajam u visini izvršenog povrata poreza na dohodak i prireza porezu na dohodak temeljem godišnje prijave</w:t>
      </w:r>
      <w:r w:rsidR="00D31979">
        <w:rPr>
          <w:sz w:val="22"/>
          <w:szCs w:val="22"/>
        </w:rPr>
        <w:t xml:space="preserve">  )</w:t>
      </w:r>
      <w:r w:rsidR="00770295">
        <w:rPr>
          <w:sz w:val="22"/>
          <w:szCs w:val="22"/>
        </w:rPr>
        <w:t xml:space="preserve"> i</w:t>
      </w:r>
      <w:r w:rsidR="00BF2FA1">
        <w:rPr>
          <w:sz w:val="22"/>
          <w:szCs w:val="22"/>
        </w:rPr>
        <w:t xml:space="preserve"> najvećim dijelom na obv</w:t>
      </w:r>
      <w:r w:rsidR="004E5391">
        <w:rPr>
          <w:sz w:val="22"/>
          <w:szCs w:val="22"/>
        </w:rPr>
        <w:t>e</w:t>
      </w:r>
      <w:r w:rsidR="00BF2FA1">
        <w:rPr>
          <w:sz w:val="22"/>
          <w:szCs w:val="22"/>
        </w:rPr>
        <w:t>ze za</w:t>
      </w:r>
      <w:r>
        <w:rPr>
          <w:sz w:val="22"/>
          <w:szCs w:val="22"/>
        </w:rPr>
        <w:t xml:space="preserve"> nabavu nefinancijske imovine u iznosu od </w:t>
      </w:r>
      <w:r w:rsidR="00BF2FA1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D31979">
        <w:rPr>
          <w:sz w:val="22"/>
          <w:szCs w:val="22"/>
        </w:rPr>
        <w:t>595</w:t>
      </w:r>
      <w:r>
        <w:rPr>
          <w:sz w:val="22"/>
          <w:szCs w:val="22"/>
        </w:rPr>
        <w:t>.</w:t>
      </w:r>
      <w:r w:rsidR="00D31979">
        <w:rPr>
          <w:sz w:val="22"/>
          <w:szCs w:val="22"/>
        </w:rPr>
        <w:t>666</w:t>
      </w:r>
      <w:r w:rsidR="004E5391">
        <w:rPr>
          <w:sz w:val="22"/>
          <w:szCs w:val="22"/>
        </w:rPr>
        <w:t>,</w:t>
      </w:r>
      <w:r w:rsidR="00D31979">
        <w:rPr>
          <w:sz w:val="22"/>
          <w:szCs w:val="22"/>
        </w:rPr>
        <w:t>62</w:t>
      </w:r>
      <w:r w:rsidR="009B1147">
        <w:rPr>
          <w:sz w:val="22"/>
          <w:szCs w:val="22"/>
        </w:rPr>
        <w:t>.</w:t>
      </w:r>
      <w:r w:rsidR="00BF2FA1">
        <w:rPr>
          <w:sz w:val="22"/>
          <w:szCs w:val="22"/>
        </w:rPr>
        <w:t xml:space="preserve"> </w:t>
      </w:r>
      <w:r w:rsidR="009B1147">
        <w:rPr>
          <w:sz w:val="22"/>
          <w:szCs w:val="22"/>
        </w:rPr>
        <w:t xml:space="preserve">Na kraju </w:t>
      </w:r>
      <w:r>
        <w:rPr>
          <w:sz w:val="22"/>
          <w:szCs w:val="22"/>
        </w:rPr>
        <w:t>20</w:t>
      </w:r>
      <w:r w:rsidR="00D31979">
        <w:rPr>
          <w:sz w:val="22"/>
          <w:szCs w:val="22"/>
        </w:rPr>
        <w:t>20</w:t>
      </w:r>
      <w:r>
        <w:rPr>
          <w:sz w:val="22"/>
          <w:szCs w:val="22"/>
        </w:rPr>
        <w:t xml:space="preserve">. godine dospjele obveze iznose </w:t>
      </w:r>
      <w:r w:rsidR="009B1147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D31979">
        <w:rPr>
          <w:sz w:val="22"/>
          <w:szCs w:val="22"/>
        </w:rPr>
        <w:t>342</w:t>
      </w:r>
      <w:r>
        <w:rPr>
          <w:sz w:val="22"/>
          <w:szCs w:val="22"/>
        </w:rPr>
        <w:t>.</w:t>
      </w:r>
      <w:r w:rsidR="00D31979">
        <w:rPr>
          <w:sz w:val="22"/>
          <w:szCs w:val="22"/>
        </w:rPr>
        <w:t>994</w:t>
      </w:r>
      <w:r w:rsidR="00477285">
        <w:rPr>
          <w:sz w:val="22"/>
          <w:szCs w:val="22"/>
        </w:rPr>
        <w:t>,</w:t>
      </w:r>
      <w:r w:rsidR="00D31979">
        <w:rPr>
          <w:sz w:val="22"/>
          <w:szCs w:val="22"/>
        </w:rPr>
        <w:t>19</w:t>
      </w:r>
      <w:r>
        <w:rPr>
          <w:sz w:val="22"/>
          <w:szCs w:val="22"/>
        </w:rPr>
        <w:t xml:space="preserve"> kn, a nedospjele u iznosu od </w:t>
      </w:r>
      <w:r w:rsidR="00D31979">
        <w:rPr>
          <w:sz w:val="22"/>
          <w:szCs w:val="22"/>
        </w:rPr>
        <w:t>888.363,00</w:t>
      </w:r>
      <w:r>
        <w:rPr>
          <w:sz w:val="22"/>
          <w:szCs w:val="22"/>
        </w:rPr>
        <w:t xml:space="preserve"> kn. Nedospjele obveze se odnose na</w:t>
      </w:r>
      <w:r w:rsidR="00477285">
        <w:rPr>
          <w:sz w:val="22"/>
          <w:szCs w:val="22"/>
        </w:rPr>
        <w:t xml:space="preserve"> obveze za </w:t>
      </w:r>
      <w:r w:rsidR="00770295">
        <w:rPr>
          <w:sz w:val="22"/>
          <w:szCs w:val="22"/>
        </w:rPr>
        <w:t xml:space="preserve">kredite i zajmove, obveze za </w:t>
      </w:r>
      <w:r w:rsidR="00477285">
        <w:rPr>
          <w:sz w:val="22"/>
          <w:szCs w:val="22"/>
        </w:rPr>
        <w:t xml:space="preserve">zaposlene i ostale tekuće obveze. </w:t>
      </w:r>
    </w:p>
    <w:p w:rsidR="00502E11" w:rsidRDefault="00502E11" w:rsidP="00415016">
      <w:pPr>
        <w:pStyle w:val="Default"/>
        <w:ind w:firstLine="708"/>
        <w:rPr>
          <w:sz w:val="22"/>
          <w:szCs w:val="22"/>
        </w:rPr>
      </w:pPr>
    </w:p>
    <w:p w:rsidR="00DB6465" w:rsidRDefault="00DB6465" w:rsidP="00415016">
      <w:pPr>
        <w:pStyle w:val="Default"/>
        <w:ind w:firstLine="708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Vlastiti izvori </w:t>
      </w:r>
      <w:r w:rsidR="001B2414">
        <w:rPr>
          <w:sz w:val="22"/>
          <w:szCs w:val="22"/>
        </w:rPr>
        <w:t xml:space="preserve"> </w:t>
      </w: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D050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Prilikom izrade financijskih izvještaja za razdoblje siječanj - prosinac 20</w:t>
      </w:r>
      <w:r w:rsidR="007D6997">
        <w:rPr>
          <w:sz w:val="22"/>
          <w:szCs w:val="22"/>
        </w:rPr>
        <w:t>20</w:t>
      </w:r>
      <w:r>
        <w:rPr>
          <w:sz w:val="22"/>
          <w:szCs w:val="22"/>
        </w:rPr>
        <w:t>. godine</w:t>
      </w:r>
      <w:r w:rsidR="007B21A7">
        <w:rPr>
          <w:sz w:val="22"/>
          <w:szCs w:val="22"/>
        </w:rPr>
        <w:t xml:space="preserve"> i godišnjeg obračuna proračuna Općine Tučepi </w:t>
      </w:r>
      <w:r>
        <w:rPr>
          <w:sz w:val="22"/>
          <w:szCs w:val="22"/>
        </w:rPr>
        <w:t xml:space="preserve"> utvrđen je na dan 31.12.20</w:t>
      </w:r>
      <w:r w:rsidR="007D6997">
        <w:rPr>
          <w:sz w:val="22"/>
          <w:szCs w:val="22"/>
        </w:rPr>
        <w:t>20</w:t>
      </w:r>
      <w:r>
        <w:rPr>
          <w:sz w:val="22"/>
          <w:szCs w:val="22"/>
        </w:rPr>
        <w:t xml:space="preserve">. godine manjak prihoda i primitaka za pokriće u sljedećem razdoblju </w:t>
      </w:r>
      <w:r w:rsidR="007B21A7">
        <w:rPr>
          <w:sz w:val="22"/>
          <w:szCs w:val="22"/>
        </w:rPr>
        <w:t xml:space="preserve">u </w:t>
      </w:r>
      <w:r>
        <w:rPr>
          <w:sz w:val="22"/>
          <w:szCs w:val="22"/>
        </w:rPr>
        <w:t>iznos</w:t>
      </w:r>
      <w:r w:rsidR="007B21A7">
        <w:rPr>
          <w:sz w:val="22"/>
          <w:szCs w:val="22"/>
        </w:rPr>
        <w:t>u od 3.</w:t>
      </w:r>
      <w:r w:rsidR="003D6793">
        <w:rPr>
          <w:sz w:val="22"/>
          <w:szCs w:val="22"/>
        </w:rPr>
        <w:t>896</w:t>
      </w:r>
      <w:r w:rsidR="007B21A7">
        <w:rPr>
          <w:sz w:val="22"/>
          <w:szCs w:val="22"/>
        </w:rPr>
        <w:t>.</w:t>
      </w:r>
      <w:r w:rsidR="003D6793">
        <w:rPr>
          <w:sz w:val="22"/>
          <w:szCs w:val="22"/>
        </w:rPr>
        <w:t>498,64</w:t>
      </w:r>
      <w:r>
        <w:rPr>
          <w:sz w:val="22"/>
          <w:szCs w:val="22"/>
        </w:rPr>
        <w:t xml:space="preserve"> kn. Obračunati prihodi poslovanja i prihodi od prodaje nefinancijske imovine </w:t>
      </w:r>
      <w:r w:rsidR="007B21A7">
        <w:rPr>
          <w:sz w:val="22"/>
          <w:szCs w:val="22"/>
        </w:rPr>
        <w:t>povećani</w:t>
      </w:r>
      <w:r w:rsidR="002F4295"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u odnosu na 201</w:t>
      </w:r>
      <w:r w:rsidR="00421A3A">
        <w:rPr>
          <w:sz w:val="22"/>
          <w:szCs w:val="22"/>
        </w:rPr>
        <w:t>9</w:t>
      </w:r>
      <w:r>
        <w:rPr>
          <w:sz w:val="22"/>
          <w:szCs w:val="22"/>
        </w:rPr>
        <w:t xml:space="preserve">. godinu </w:t>
      </w:r>
      <w:r w:rsidR="00D050CD">
        <w:rPr>
          <w:sz w:val="22"/>
          <w:szCs w:val="22"/>
        </w:rPr>
        <w:t>za 151.487,11 kn</w:t>
      </w:r>
      <w:r>
        <w:rPr>
          <w:sz w:val="22"/>
          <w:szCs w:val="22"/>
        </w:rPr>
        <w:t xml:space="preserve"> </w:t>
      </w:r>
      <w:r w:rsidR="009545DD">
        <w:rPr>
          <w:sz w:val="22"/>
          <w:szCs w:val="22"/>
        </w:rPr>
        <w:t>zbog povećanja potraživanja po određenim vrstama prihoda</w:t>
      </w:r>
      <w:r w:rsidR="00D050CD">
        <w:rPr>
          <w:sz w:val="22"/>
          <w:szCs w:val="22"/>
        </w:rPr>
        <w:t>.</w:t>
      </w:r>
      <w:r w:rsidR="009545DD">
        <w:rPr>
          <w:sz w:val="22"/>
          <w:szCs w:val="22"/>
        </w:rPr>
        <w:t xml:space="preserve"> </w:t>
      </w:r>
      <w:r>
        <w:rPr>
          <w:sz w:val="22"/>
          <w:szCs w:val="22"/>
        </w:rPr>
        <w:t>Vrijednost izvan</w:t>
      </w:r>
      <w:r w:rsidR="007B21A7">
        <w:rPr>
          <w:sz w:val="22"/>
          <w:szCs w:val="22"/>
        </w:rPr>
        <w:t xml:space="preserve"> </w:t>
      </w:r>
      <w:r>
        <w:rPr>
          <w:sz w:val="22"/>
          <w:szCs w:val="22"/>
        </w:rPr>
        <w:t>bilančnih zapisa krajem 20</w:t>
      </w:r>
      <w:r w:rsidR="007D6997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BB2F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godine je iznosila </w:t>
      </w:r>
      <w:r w:rsidR="00DB6465">
        <w:rPr>
          <w:sz w:val="22"/>
          <w:szCs w:val="22"/>
        </w:rPr>
        <w:t>7.362.232,11</w:t>
      </w:r>
      <w:r>
        <w:rPr>
          <w:sz w:val="22"/>
          <w:szCs w:val="22"/>
        </w:rPr>
        <w:t xml:space="preserve"> kn, a odnosi se na </w:t>
      </w:r>
      <w:r w:rsidR="00DB6465">
        <w:rPr>
          <w:sz w:val="22"/>
          <w:szCs w:val="22"/>
        </w:rPr>
        <w:t>instrumente osiguranja plaćanja u iznosu od 7.252.232</w:t>
      </w:r>
      <w:r w:rsidR="00BB2F17">
        <w:rPr>
          <w:sz w:val="22"/>
          <w:szCs w:val="22"/>
        </w:rPr>
        <w:t>,11</w:t>
      </w:r>
      <w:r w:rsidR="00DB6465">
        <w:rPr>
          <w:sz w:val="22"/>
          <w:szCs w:val="22"/>
        </w:rPr>
        <w:t xml:space="preserve"> kn i </w:t>
      </w:r>
      <w:r>
        <w:rPr>
          <w:sz w:val="22"/>
          <w:szCs w:val="22"/>
        </w:rPr>
        <w:t>potencijalne obveze po osnovi sudskih sporova</w:t>
      </w:r>
      <w:r w:rsidR="00DB6465">
        <w:rPr>
          <w:sz w:val="22"/>
          <w:szCs w:val="22"/>
        </w:rPr>
        <w:t xml:space="preserve"> u iznosu od 110.000,00 kn</w:t>
      </w:r>
      <w:r w:rsidR="00E32C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050CD" w:rsidRDefault="00D050CD" w:rsidP="00531973">
      <w:pPr>
        <w:pStyle w:val="Default"/>
        <w:ind w:firstLine="708"/>
        <w:rPr>
          <w:sz w:val="22"/>
          <w:szCs w:val="22"/>
        </w:rPr>
      </w:pPr>
    </w:p>
    <w:p w:rsidR="00531973" w:rsidRDefault="00BE057A" w:rsidP="00BE057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Izvještaj o prihodima i primicima</w:t>
      </w:r>
      <w:r w:rsidR="001B2414">
        <w:rPr>
          <w:b/>
          <w:bCs/>
          <w:sz w:val="22"/>
          <w:szCs w:val="22"/>
        </w:rPr>
        <w:t xml:space="preserve"> </w:t>
      </w:r>
    </w:p>
    <w:p w:rsidR="00531973" w:rsidRDefault="00531973" w:rsidP="00BE057A">
      <w:pPr>
        <w:pStyle w:val="Default"/>
        <w:rPr>
          <w:b/>
          <w:bCs/>
          <w:sz w:val="22"/>
          <w:szCs w:val="22"/>
        </w:rPr>
      </w:pPr>
    </w:p>
    <w:p w:rsidR="00531973" w:rsidRDefault="00BE057A" w:rsidP="00531973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Ukupni prihodi i primici su u 20</w:t>
      </w:r>
      <w:r w:rsidR="007D6997">
        <w:rPr>
          <w:sz w:val="22"/>
          <w:szCs w:val="22"/>
        </w:rPr>
        <w:t>20</w:t>
      </w:r>
      <w:r>
        <w:rPr>
          <w:sz w:val="22"/>
          <w:szCs w:val="22"/>
        </w:rPr>
        <w:t xml:space="preserve">. godini ostvareni u ukupnom iznosu od </w:t>
      </w:r>
      <w:r w:rsidR="009425E5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9425E5">
        <w:rPr>
          <w:sz w:val="22"/>
          <w:szCs w:val="22"/>
        </w:rPr>
        <w:t>426</w:t>
      </w:r>
      <w:r>
        <w:rPr>
          <w:sz w:val="22"/>
          <w:szCs w:val="22"/>
        </w:rPr>
        <w:t>.</w:t>
      </w:r>
      <w:r w:rsidR="009425E5">
        <w:rPr>
          <w:sz w:val="22"/>
          <w:szCs w:val="22"/>
        </w:rPr>
        <w:t>047,19</w:t>
      </w:r>
      <w:r>
        <w:rPr>
          <w:sz w:val="22"/>
          <w:szCs w:val="22"/>
        </w:rPr>
        <w:t xml:space="preserve"> kn, što je za </w:t>
      </w:r>
      <w:r w:rsidR="009425E5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9425E5">
        <w:rPr>
          <w:sz w:val="22"/>
          <w:szCs w:val="22"/>
        </w:rPr>
        <w:t>656</w:t>
      </w:r>
      <w:r>
        <w:rPr>
          <w:sz w:val="22"/>
          <w:szCs w:val="22"/>
        </w:rPr>
        <w:t>.</w:t>
      </w:r>
      <w:r w:rsidR="009425E5">
        <w:rPr>
          <w:sz w:val="22"/>
          <w:szCs w:val="22"/>
        </w:rPr>
        <w:t>855,31</w:t>
      </w:r>
      <w:r>
        <w:rPr>
          <w:sz w:val="22"/>
          <w:szCs w:val="22"/>
        </w:rPr>
        <w:t xml:space="preserve"> kn </w:t>
      </w:r>
      <w:r w:rsidR="009425E5">
        <w:rPr>
          <w:sz w:val="22"/>
          <w:szCs w:val="22"/>
        </w:rPr>
        <w:t>manje</w:t>
      </w:r>
      <w:r>
        <w:rPr>
          <w:sz w:val="22"/>
          <w:szCs w:val="22"/>
        </w:rPr>
        <w:t xml:space="preserve"> u odnosu na isto razdoblje 201</w:t>
      </w:r>
      <w:r w:rsidR="007D6997">
        <w:rPr>
          <w:sz w:val="22"/>
          <w:szCs w:val="22"/>
        </w:rPr>
        <w:t>9</w:t>
      </w:r>
      <w:r>
        <w:rPr>
          <w:sz w:val="22"/>
          <w:szCs w:val="22"/>
        </w:rPr>
        <w:t xml:space="preserve">. godine. </w:t>
      </w:r>
    </w:p>
    <w:p w:rsidR="00531973" w:rsidRDefault="00531973" w:rsidP="00531973">
      <w:pPr>
        <w:pStyle w:val="Default"/>
        <w:ind w:firstLine="708"/>
        <w:rPr>
          <w:sz w:val="22"/>
          <w:szCs w:val="22"/>
        </w:rPr>
      </w:pPr>
    </w:p>
    <w:p w:rsidR="00BE057A" w:rsidRDefault="00BE057A" w:rsidP="0053197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U tablici u nastavku se daju podaci o ostvarenim prihodima i primicima u 201</w:t>
      </w:r>
      <w:r w:rsidR="00B61018">
        <w:rPr>
          <w:sz w:val="22"/>
          <w:szCs w:val="22"/>
        </w:rPr>
        <w:t>9</w:t>
      </w:r>
      <w:r>
        <w:rPr>
          <w:sz w:val="22"/>
          <w:szCs w:val="22"/>
        </w:rPr>
        <w:t>. i 20</w:t>
      </w:r>
      <w:r w:rsidR="00B61018">
        <w:rPr>
          <w:sz w:val="22"/>
          <w:szCs w:val="22"/>
        </w:rPr>
        <w:t>20</w:t>
      </w:r>
      <w:r>
        <w:rPr>
          <w:sz w:val="22"/>
          <w:szCs w:val="22"/>
        </w:rPr>
        <w:t xml:space="preserve">. godini. </w:t>
      </w:r>
    </w:p>
    <w:p w:rsidR="00BE057A" w:rsidRDefault="00BE057A" w:rsidP="00BE057A">
      <w:pPr>
        <w:pStyle w:val="Default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449"/>
      </w:tblGrid>
      <w:tr w:rsidR="00F7472C" w:rsidTr="001F61B9">
        <w:tc>
          <w:tcPr>
            <w:tcW w:w="5098" w:type="dxa"/>
            <w:shd w:val="clear" w:color="auto" w:fill="7F7F7F" w:themeFill="text1" w:themeFillTint="80"/>
          </w:tcPr>
          <w:p w:rsidR="00BB08D0" w:rsidRPr="000E1BCB" w:rsidRDefault="00BB08D0" w:rsidP="00BB08D0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Opis</w:t>
            </w:r>
          </w:p>
          <w:p w:rsidR="00F7472C" w:rsidRPr="000E1BCB" w:rsidRDefault="00F7472C" w:rsidP="00BE05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7F7F7F" w:themeFill="text1" w:themeFillTint="80"/>
          </w:tcPr>
          <w:p w:rsidR="00BB08D0" w:rsidRPr="000E1BCB" w:rsidRDefault="00BB08D0" w:rsidP="00BB08D0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Ostvarenje 201</w:t>
            </w:r>
            <w:r w:rsidR="00B61018">
              <w:rPr>
                <w:b/>
                <w:bCs/>
                <w:sz w:val="20"/>
                <w:szCs w:val="20"/>
              </w:rPr>
              <w:t>9</w:t>
            </w:r>
          </w:p>
          <w:p w:rsidR="00F7472C" w:rsidRPr="000E1BCB" w:rsidRDefault="00F7472C" w:rsidP="00BE05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7F7F7F" w:themeFill="text1" w:themeFillTint="80"/>
          </w:tcPr>
          <w:p w:rsidR="00BB08D0" w:rsidRPr="000E1BCB" w:rsidRDefault="00BB08D0" w:rsidP="00BB08D0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Ostvarenje 20</w:t>
            </w:r>
            <w:r w:rsidR="00B61018">
              <w:rPr>
                <w:b/>
                <w:bCs/>
                <w:sz w:val="20"/>
                <w:szCs w:val="20"/>
              </w:rPr>
              <w:t>20</w:t>
            </w:r>
          </w:p>
          <w:p w:rsidR="00F7472C" w:rsidRPr="000E1BCB" w:rsidRDefault="00F7472C" w:rsidP="00BE057A">
            <w:pPr>
              <w:pStyle w:val="Default"/>
              <w:rPr>
                <w:sz w:val="20"/>
                <w:szCs w:val="20"/>
              </w:rPr>
            </w:pPr>
          </w:p>
        </w:tc>
      </w:tr>
      <w:tr w:rsidR="00F7472C" w:rsidTr="001F61B9">
        <w:tc>
          <w:tcPr>
            <w:tcW w:w="5098" w:type="dxa"/>
            <w:shd w:val="clear" w:color="auto" w:fill="AEAAAA" w:themeFill="background2" w:themeFillShade="BF"/>
          </w:tcPr>
          <w:p w:rsidR="002D1DB5" w:rsidRPr="000E1BCB" w:rsidRDefault="002D1DB5" w:rsidP="002D1DB5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 xml:space="preserve">SVEUKUPNO </w:t>
            </w:r>
          </w:p>
          <w:p w:rsidR="00F7472C" w:rsidRPr="000E1BCB" w:rsidRDefault="00F7472C" w:rsidP="00BE05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:rsidR="00F7472C" w:rsidRPr="00C62E96" w:rsidRDefault="00B61018" w:rsidP="00BE057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C62E96">
              <w:rPr>
                <w:b/>
                <w:bCs/>
                <w:sz w:val="20"/>
                <w:szCs w:val="20"/>
              </w:rPr>
              <w:t>18.082.902,50</w:t>
            </w:r>
          </w:p>
        </w:tc>
        <w:tc>
          <w:tcPr>
            <w:tcW w:w="2449" w:type="dxa"/>
            <w:shd w:val="clear" w:color="auto" w:fill="AEAAAA" w:themeFill="background2" w:themeFillShade="BF"/>
          </w:tcPr>
          <w:p w:rsidR="00F7472C" w:rsidRPr="00C62E96" w:rsidRDefault="00873CEF" w:rsidP="00BE057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F5A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C21301">
              <w:rPr>
                <w:b/>
                <w:bCs/>
                <w:sz w:val="20"/>
                <w:szCs w:val="20"/>
              </w:rPr>
              <w:t>11</w:t>
            </w:r>
            <w:r w:rsidRPr="00C62E96">
              <w:rPr>
                <w:b/>
                <w:bCs/>
                <w:sz w:val="20"/>
                <w:szCs w:val="20"/>
              </w:rPr>
              <w:t>.</w:t>
            </w:r>
            <w:r w:rsidR="00C21301">
              <w:rPr>
                <w:b/>
                <w:bCs/>
                <w:sz w:val="20"/>
                <w:szCs w:val="20"/>
              </w:rPr>
              <w:t>426</w:t>
            </w:r>
            <w:r w:rsidRPr="00C62E96">
              <w:rPr>
                <w:b/>
                <w:bCs/>
                <w:sz w:val="20"/>
                <w:szCs w:val="20"/>
              </w:rPr>
              <w:t>.</w:t>
            </w:r>
            <w:r w:rsidR="00C21301">
              <w:rPr>
                <w:b/>
                <w:bCs/>
                <w:sz w:val="20"/>
                <w:szCs w:val="20"/>
              </w:rPr>
              <w:t>04</w:t>
            </w:r>
            <w:r w:rsidR="00C92367">
              <w:rPr>
                <w:b/>
                <w:bCs/>
                <w:sz w:val="20"/>
                <w:szCs w:val="20"/>
              </w:rPr>
              <w:t>7,</w:t>
            </w:r>
            <w:r w:rsidR="007F5AC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F7472C" w:rsidTr="001F61B9">
        <w:trPr>
          <w:trHeight w:val="272"/>
        </w:trPr>
        <w:tc>
          <w:tcPr>
            <w:tcW w:w="5098" w:type="dxa"/>
            <w:shd w:val="clear" w:color="auto" w:fill="E7E6E6" w:themeFill="background2"/>
          </w:tcPr>
          <w:p w:rsidR="00394EDA" w:rsidRPr="000E1BCB" w:rsidRDefault="00394EDA" w:rsidP="00394EDA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Prihodi poslovanja </w:t>
            </w:r>
          </w:p>
          <w:p w:rsidR="00F7472C" w:rsidRPr="000E1BCB" w:rsidRDefault="00F7472C" w:rsidP="00BE05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F7472C" w:rsidRPr="00C62E96" w:rsidRDefault="00B61018" w:rsidP="00BE057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C62E96">
              <w:rPr>
                <w:b/>
                <w:bCs/>
                <w:sz w:val="20"/>
                <w:szCs w:val="20"/>
              </w:rPr>
              <w:t>16.009.191,39</w:t>
            </w:r>
          </w:p>
        </w:tc>
        <w:tc>
          <w:tcPr>
            <w:tcW w:w="2449" w:type="dxa"/>
            <w:shd w:val="clear" w:color="auto" w:fill="E7E6E6" w:themeFill="background2"/>
          </w:tcPr>
          <w:p w:rsidR="00F7472C" w:rsidRPr="00C62E96" w:rsidRDefault="006A5725" w:rsidP="00BE057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C62E96">
              <w:rPr>
                <w:b/>
                <w:bCs/>
                <w:sz w:val="20"/>
                <w:szCs w:val="20"/>
              </w:rPr>
              <w:t>1</w:t>
            </w:r>
            <w:r w:rsidR="00C92367">
              <w:rPr>
                <w:b/>
                <w:bCs/>
                <w:sz w:val="20"/>
                <w:szCs w:val="20"/>
              </w:rPr>
              <w:t>0</w:t>
            </w:r>
            <w:r w:rsidRPr="00C62E96">
              <w:rPr>
                <w:b/>
                <w:bCs/>
                <w:sz w:val="20"/>
                <w:szCs w:val="20"/>
              </w:rPr>
              <w:t>.</w:t>
            </w:r>
            <w:r w:rsidR="00C92367">
              <w:rPr>
                <w:b/>
                <w:bCs/>
                <w:sz w:val="20"/>
                <w:szCs w:val="20"/>
              </w:rPr>
              <w:t>810</w:t>
            </w:r>
            <w:r w:rsidRPr="00C62E96">
              <w:rPr>
                <w:b/>
                <w:bCs/>
                <w:sz w:val="20"/>
                <w:szCs w:val="20"/>
              </w:rPr>
              <w:t>.</w:t>
            </w:r>
            <w:r w:rsidR="00C92367">
              <w:rPr>
                <w:b/>
                <w:bCs/>
                <w:sz w:val="20"/>
                <w:szCs w:val="20"/>
              </w:rPr>
              <w:t>778,03</w:t>
            </w:r>
          </w:p>
        </w:tc>
      </w:tr>
      <w:tr w:rsidR="00B61018" w:rsidTr="00926EA5">
        <w:tc>
          <w:tcPr>
            <w:tcW w:w="5098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Prihodi od poreza </w:t>
            </w:r>
          </w:p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6.614.255,22</w:t>
            </w:r>
          </w:p>
        </w:tc>
        <w:tc>
          <w:tcPr>
            <w:tcW w:w="2449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C923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C92367">
              <w:rPr>
                <w:sz w:val="20"/>
                <w:szCs w:val="20"/>
              </w:rPr>
              <w:t>449</w:t>
            </w:r>
            <w:r w:rsidR="00887200">
              <w:rPr>
                <w:sz w:val="20"/>
                <w:szCs w:val="20"/>
              </w:rPr>
              <w:t>.</w:t>
            </w:r>
            <w:r w:rsidR="00C92367">
              <w:rPr>
                <w:sz w:val="20"/>
                <w:szCs w:val="20"/>
              </w:rPr>
              <w:t>796,44</w:t>
            </w:r>
          </w:p>
        </w:tc>
      </w:tr>
      <w:tr w:rsidR="00B61018" w:rsidTr="00926EA5">
        <w:tc>
          <w:tcPr>
            <w:tcW w:w="5098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Pomoći iz inozemstva i od subjekata unutar općeg proračuna </w:t>
            </w:r>
          </w:p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3.367.800,00</w:t>
            </w:r>
          </w:p>
        </w:tc>
        <w:tc>
          <w:tcPr>
            <w:tcW w:w="2449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C923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C92367">
              <w:rPr>
                <w:sz w:val="20"/>
                <w:szCs w:val="20"/>
              </w:rPr>
              <w:t>772.291,54</w:t>
            </w:r>
          </w:p>
        </w:tc>
      </w:tr>
      <w:tr w:rsidR="00B61018" w:rsidTr="00926EA5">
        <w:tc>
          <w:tcPr>
            <w:tcW w:w="5098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Prihodi od imovine </w:t>
            </w:r>
          </w:p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435.778,70</w:t>
            </w:r>
          </w:p>
        </w:tc>
        <w:tc>
          <w:tcPr>
            <w:tcW w:w="2449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92367">
              <w:rPr>
                <w:sz w:val="20"/>
                <w:szCs w:val="20"/>
              </w:rPr>
              <w:t>368.903,86</w:t>
            </w:r>
          </w:p>
        </w:tc>
      </w:tr>
      <w:tr w:rsidR="00B61018" w:rsidTr="00926EA5">
        <w:tc>
          <w:tcPr>
            <w:tcW w:w="5098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Prihodi od upravnih i administrativnih pristojbi, pristojbi po posebnim propisima i naknada </w:t>
            </w:r>
          </w:p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5.506.907,47</w:t>
            </w:r>
          </w:p>
        </w:tc>
        <w:tc>
          <w:tcPr>
            <w:tcW w:w="2449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C923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C92367"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t>.</w:t>
            </w:r>
            <w:r w:rsidR="00C92367">
              <w:rPr>
                <w:sz w:val="20"/>
                <w:szCs w:val="20"/>
              </w:rPr>
              <w:t>436,19</w:t>
            </w:r>
          </w:p>
        </w:tc>
      </w:tr>
      <w:tr w:rsidR="001A522C" w:rsidTr="00926EA5">
        <w:tc>
          <w:tcPr>
            <w:tcW w:w="5098" w:type="dxa"/>
          </w:tcPr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Prihodi od prodaje proizvoda i robe te pruženih usluga i prihodi od donacija </w:t>
            </w:r>
          </w:p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FC69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8.000</w:t>
            </w:r>
            <w:r w:rsidR="00FC69A1">
              <w:rPr>
                <w:sz w:val="20"/>
                <w:szCs w:val="20"/>
              </w:rPr>
              <w:t>,00</w:t>
            </w:r>
          </w:p>
        </w:tc>
        <w:tc>
          <w:tcPr>
            <w:tcW w:w="2449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D32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="00C92367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0</w:t>
            </w:r>
            <w:r w:rsidR="00E27654">
              <w:rPr>
                <w:sz w:val="20"/>
                <w:szCs w:val="20"/>
              </w:rPr>
              <w:t>,00</w:t>
            </w:r>
          </w:p>
        </w:tc>
      </w:tr>
      <w:tr w:rsidR="00B61018" w:rsidTr="00926EA5">
        <w:tc>
          <w:tcPr>
            <w:tcW w:w="5098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Kazne, upravne mjere i ostali prihodi </w:t>
            </w:r>
          </w:p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76.450,00</w:t>
            </w:r>
          </w:p>
        </w:tc>
        <w:tc>
          <w:tcPr>
            <w:tcW w:w="2449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C9236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="00C923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50,00</w:t>
            </w:r>
          </w:p>
        </w:tc>
      </w:tr>
      <w:tr w:rsidR="00B61018" w:rsidTr="001F61B9">
        <w:tc>
          <w:tcPr>
            <w:tcW w:w="5098" w:type="dxa"/>
            <w:shd w:val="clear" w:color="auto" w:fill="E7E6E6" w:themeFill="background2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Prihodi od prodaje nefinancijske imovine </w:t>
            </w:r>
          </w:p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B61018" w:rsidRPr="00C62E96" w:rsidRDefault="00B61018" w:rsidP="00B6101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C62E96">
              <w:rPr>
                <w:b/>
                <w:bCs/>
                <w:sz w:val="20"/>
                <w:szCs w:val="20"/>
              </w:rPr>
              <w:t>2.073.711,11</w:t>
            </w:r>
          </w:p>
        </w:tc>
        <w:tc>
          <w:tcPr>
            <w:tcW w:w="2449" w:type="dxa"/>
            <w:shd w:val="clear" w:color="auto" w:fill="E7E6E6" w:themeFill="background2"/>
          </w:tcPr>
          <w:p w:rsidR="00B61018" w:rsidRPr="00C62E96" w:rsidRDefault="00B61018" w:rsidP="00B6101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C92367">
              <w:rPr>
                <w:sz w:val="20"/>
                <w:szCs w:val="20"/>
              </w:rPr>
              <w:t xml:space="preserve">   </w:t>
            </w:r>
            <w:r w:rsidR="00C92367">
              <w:rPr>
                <w:b/>
                <w:bCs/>
                <w:sz w:val="20"/>
                <w:szCs w:val="20"/>
              </w:rPr>
              <w:t>135.951,83</w:t>
            </w:r>
          </w:p>
        </w:tc>
      </w:tr>
      <w:tr w:rsidR="00B61018" w:rsidTr="00926EA5">
        <w:tc>
          <w:tcPr>
            <w:tcW w:w="5098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Prihodi od prodaje neproizvedene imovine </w:t>
            </w:r>
          </w:p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2.073.711,11</w:t>
            </w:r>
          </w:p>
        </w:tc>
        <w:tc>
          <w:tcPr>
            <w:tcW w:w="2449" w:type="dxa"/>
          </w:tcPr>
          <w:p w:rsidR="00B61018" w:rsidRPr="000E1BCB" w:rsidRDefault="00B61018" w:rsidP="00B61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C92367">
              <w:rPr>
                <w:sz w:val="20"/>
                <w:szCs w:val="20"/>
              </w:rPr>
              <w:t xml:space="preserve">   135.951,83</w:t>
            </w:r>
          </w:p>
        </w:tc>
      </w:tr>
      <w:tr w:rsidR="001A522C" w:rsidTr="001F61B9">
        <w:tc>
          <w:tcPr>
            <w:tcW w:w="5098" w:type="dxa"/>
            <w:shd w:val="clear" w:color="auto" w:fill="E7E6E6" w:themeFill="background2"/>
          </w:tcPr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Primici od financijske imovine i zaduživanja </w:t>
            </w:r>
          </w:p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1A522C" w:rsidRPr="00C62E96" w:rsidRDefault="006A5725" w:rsidP="001A522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FC69A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</w:t>
            </w:r>
            <w:r w:rsidRPr="00C62E9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49" w:type="dxa"/>
            <w:shd w:val="clear" w:color="auto" w:fill="E7E6E6" w:themeFill="background2"/>
          </w:tcPr>
          <w:p w:rsidR="001A522C" w:rsidRPr="00C62E96" w:rsidRDefault="006A5725" w:rsidP="001A522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C92367">
              <w:rPr>
                <w:b/>
                <w:bCs/>
                <w:sz w:val="20"/>
                <w:szCs w:val="20"/>
              </w:rPr>
              <w:t>479.317,33</w:t>
            </w:r>
          </w:p>
        </w:tc>
      </w:tr>
      <w:tr w:rsidR="001A522C" w:rsidTr="00926EA5">
        <w:tc>
          <w:tcPr>
            <w:tcW w:w="5098" w:type="dxa"/>
          </w:tcPr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Primljeni povrati glavnica danih zajmova i depozita </w:t>
            </w:r>
          </w:p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FC69A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0,00</w:t>
            </w:r>
          </w:p>
        </w:tc>
        <w:tc>
          <w:tcPr>
            <w:tcW w:w="2449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0,00</w:t>
            </w:r>
          </w:p>
        </w:tc>
      </w:tr>
      <w:tr w:rsidR="001A522C" w:rsidTr="001A522C">
        <w:trPr>
          <w:trHeight w:val="426"/>
        </w:trPr>
        <w:tc>
          <w:tcPr>
            <w:tcW w:w="5098" w:type="dxa"/>
          </w:tcPr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Primici od zaduživanja </w:t>
            </w:r>
          </w:p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FC69A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2449" w:type="dxa"/>
          </w:tcPr>
          <w:p w:rsidR="00C92367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C92367">
              <w:rPr>
                <w:sz w:val="20"/>
                <w:szCs w:val="20"/>
              </w:rPr>
              <w:t>479.317,33</w:t>
            </w:r>
          </w:p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</w:p>
    <w:p w:rsidR="00551B48" w:rsidRDefault="00BE057A" w:rsidP="00BE05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Vrijednosno značajniji udjel imaju prihodi od poreza </w:t>
      </w:r>
      <w:r w:rsidR="00457013">
        <w:rPr>
          <w:sz w:val="22"/>
          <w:szCs w:val="22"/>
        </w:rPr>
        <w:t>47</w:t>
      </w:r>
      <w:r>
        <w:rPr>
          <w:sz w:val="22"/>
          <w:szCs w:val="22"/>
        </w:rPr>
        <w:t>,</w:t>
      </w:r>
      <w:r w:rsidR="00457013">
        <w:rPr>
          <w:sz w:val="22"/>
          <w:szCs w:val="22"/>
        </w:rPr>
        <w:t>70</w:t>
      </w:r>
      <w:r>
        <w:rPr>
          <w:sz w:val="22"/>
          <w:szCs w:val="22"/>
        </w:rPr>
        <w:t xml:space="preserve"> %, prihodi od upravnih i administrativnih pristojbi, pristojbi po posebnim propisima </w:t>
      </w:r>
      <w:r w:rsidR="00457013">
        <w:rPr>
          <w:sz w:val="22"/>
          <w:szCs w:val="22"/>
        </w:rPr>
        <w:t>27</w:t>
      </w:r>
      <w:r>
        <w:rPr>
          <w:sz w:val="22"/>
          <w:szCs w:val="22"/>
        </w:rPr>
        <w:t>,</w:t>
      </w:r>
      <w:r w:rsidR="00457013">
        <w:rPr>
          <w:sz w:val="22"/>
          <w:szCs w:val="22"/>
        </w:rPr>
        <w:t>90</w:t>
      </w:r>
      <w:r>
        <w:rPr>
          <w:sz w:val="22"/>
          <w:szCs w:val="22"/>
        </w:rPr>
        <w:t xml:space="preserve"> %</w:t>
      </w:r>
      <w:r w:rsidR="001B5BB2">
        <w:rPr>
          <w:sz w:val="22"/>
          <w:szCs w:val="22"/>
        </w:rPr>
        <w:t>,</w:t>
      </w:r>
      <w:r>
        <w:rPr>
          <w:sz w:val="22"/>
          <w:szCs w:val="22"/>
        </w:rPr>
        <w:t xml:space="preserve"> prihodi od pomoći iz inozemstva i od subjekata unutar općeg proračuna </w:t>
      </w:r>
      <w:r w:rsidR="00457013">
        <w:rPr>
          <w:sz w:val="22"/>
          <w:szCs w:val="22"/>
        </w:rPr>
        <w:t>15</w:t>
      </w:r>
      <w:r>
        <w:rPr>
          <w:sz w:val="22"/>
          <w:szCs w:val="22"/>
        </w:rPr>
        <w:t>,</w:t>
      </w:r>
      <w:r w:rsidR="00457013">
        <w:rPr>
          <w:sz w:val="22"/>
          <w:szCs w:val="22"/>
        </w:rPr>
        <w:t>51</w:t>
      </w:r>
      <w:r>
        <w:rPr>
          <w:sz w:val="22"/>
          <w:szCs w:val="22"/>
        </w:rPr>
        <w:t xml:space="preserve"> %</w:t>
      </w:r>
      <w:r w:rsidR="001B5BB2">
        <w:rPr>
          <w:sz w:val="22"/>
          <w:szCs w:val="22"/>
        </w:rPr>
        <w:t xml:space="preserve"> i pri</w:t>
      </w:r>
      <w:r w:rsidR="00457013">
        <w:rPr>
          <w:sz w:val="22"/>
          <w:szCs w:val="22"/>
        </w:rPr>
        <w:t xml:space="preserve">mici </w:t>
      </w:r>
      <w:r w:rsidR="001B5BB2">
        <w:rPr>
          <w:sz w:val="22"/>
          <w:szCs w:val="22"/>
        </w:rPr>
        <w:t xml:space="preserve">od </w:t>
      </w:r>
      <w:r w:rsidR="00457013">
        <w:rPr>
          <w:sz w:val="22"/>
          <w:szCs w:val="22"/>
        </w:rPr>
        <w:t xml:space="preserve">imovine i zaduživanja koji </w:t>
      </w:r>
      <w:r w:rsidR="001B5BB2">
        <w:rPr>
          <w:sz w:val="22"/>
          <w:szCs w:val="22"/>
        </w:rPr>
        <w:t xml:space="preserve">čine </w:t>
      </w:r>
      <w:r w:rsidR="00457013">
        <w:rPr>
          <w:sz w:val="22"/>
          <w:szCs w:val="22"/>
        </w:rPr>
        <w:t>4</w:t>
      </w:r>
      <w:r w:rsidR="00C81874">
        <w:rPr>
          <w:sz w:val="22"/>
          <w:szCs w:val="22"/>
        </w:rPr>
        <w:t>,</w:t>
      </w:r>
      <w:r w:rsidR="00457013">
        <w:rPr>
          <w:sz w:val="22"/>
          <w:szCs w:val="22"/>
        </w:rPr>
        <w:t>20</w:t>
      </w:r>
      <w:r w:rsidR="00C81874">
        <w:rPr>
          <w:sz w:val="22"/>
          <w:szCs w:val="22"/>
        </w:rPr>
        <w:t xml:space="preserve"> </w:t>
      </w:r>
      <w:r w:rsidR="001B5BB2">
        <w:rPr>
          <w:sz w:val="22"/>
          <w:szCs w:val="22"/>
        </w:rPr>
        <w:t>% od</w:t>
      </w:r>
      <w:r>
        <w:rPr>
          <w:sz w:val="22"/>
          <w:szCs w:val="22"/>
        </w:rPr>
        <w:t xml:space="preserve"> ukupnih prihoda i primitaka. Svi drugi prihodi i primici (</w:t>
      </w:r>
      <w:r w:rsidR="00457013">
        <w:rPr>
          <w:sz w:val="22"/>
          <w:szCs w:val="22"/>
        </w:rPr>
        <w:t xml:space="preserve">prihodi </w:t>
      </w:r>
      <w:r>
        <w:rPr>
          <w:sz w:val="22"/>
          <w:szCs w:val="22"/>
        </w:rPr>
        <w:t xml:space="preserve">od imovine, </w:t>
      </w:r>
      <w:r w:rsidR="00457013">
        <w:rPr>
          <w:sz w:val="22"/>
          <w:szCs w:val="22"/>
        </w:rPr>
        <w:t xml:space="preserve">prihodi od </w:t>
      </w:r>
      <w:r>
        <w:rPr>
          <w:sz w:val="22"/>
          <w:szCs w:val="22"/>
        </w:rPr>
        <w:t xml:space="preserve">prodaje </w:t>
      </w:r>
      <w:r w:rsidR="00457013">
        <w:rPr>
          <w:sz w:val="22"/>
          <w:szCs w:val="22"/>
        </w:rPr>
        <w:t>ne</w:t>
      </w:r>
      <w:r>
        <w:rPr>
          <w:sz w:val="22"/>
          <w:szCs w:val="22"/>
        </w:rPr>
        <w:t>proizv</w:t>
      </w:r>
      <w:r w:rsidR="00457013">
        <w:rPr>
          <w:sz w:val="22"/>
          <w:szCs w:val="22"/>
        </w:rPr>
        <w:t xml:space="preserve">edene imovine </w:t>
      </w:r>
      <w:r>
        <w:rPr>
          <w:sz w:val="22"/>
          <w:szCs w:val="22"/>
        </w:rPr>
        <w:t xml:space="preserve">i prihodi od donacija, kazni,) čine </w:t>
      </w:r>
      <w:r w:rsidR="00457013">
        <w:rPr>
          <w:sz w:val="22"/>
          <w:szCs w:val="22"/>
        </w:rPr>
        <w:t>4</w:t>
      </w:r>
      <w:r w:rsidR="00C81874">
        <w:rPr>
          <w:sz w:val="22"/>
          <w:szCs w:val="22"/>
        </w:rPr>
        <w:t>,</w:t>
      </w:r>
      <w:r w:rsidR="00457013">
        <w:rPr>
          <w:sz w:val="22"/>
          <w:szCs w:val="22"/>
        </w:rPr>
        <w:t>69</w:t>
      </w:r>
      <w:r>
        <w:rPr>
          <w:sz w:val="22"/>
          <w:szCs w:val="22"/>
        </w:rPr>
        <w:t xml:space="preserve"> % ukupnih prihoda i primitaka. </w:t>
      </w:r>
      <w:r w:rsidR="001B2414">
        <w:rPr>
          <w:sz w:val="22"/>
          <w:szCs w:val="22"/>
        </w:rPr>
        <w:t xml:space="preserve"> </w:t>
      </w:r>
    </w:p>
    <w:p w:rsidR="00551B48" w:rsidRDefault="00551B48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Prihodi od poreza </w:t>
      </w:r>
      <w:r>
        <w:rPr>
          <w:sz w:val="22"/>
          <w:szCs w:val="22"/>
        </w:rPr>
        <w:t xml:space="preserve">– </w:t>
      </w:r>
      <w:r w:rsidR="009F3CD7">
        <w:rPr>
          <w:sz w:val="22"/>
          <w:szCs w:val="22"/>
        </w:rPr>
        <w:t xml:space="preserve"> iznose 5.449.796,44  kn i smanjeni s</w:t>
      </w:r>
      <w:r>
        <w:rPr>
          <w:sz w:val="22"/>
          <w:szCs w:val="22"/>
        </w:rPr>
        <w:t xml:space="preserve">u odnosu na prethodnu godinu za </w:t>
      </w:r>
      <w:r w:rsidR="00457013">
        <w:rPr>
          <w:sz w:val="22"/>
          <w:szCs w:val="22"/>
        </w:rPr>
        <w:t>1.164</w:t>
      </w:r>
      <w:r>
        <w:rPr>
          <w:sz w:val="22"/>
          <w:szCs w:val="22"/>
        </w:rPr>
        <w:t>.</w:t>
      </w:r>
      <w:r w:rsidR="00457013">
        <w:rPr>
          <w:sz w:val="22"/>
          <w:szCs w:val="22"/>
        </w:rPr>
        <w:t>458,78</w:t>
      </w:r>
      <w:r>
        <w:rPr>
          <w:sz w:val="22"/>
          <w:szCs w:val="22"/>
        </w:rPr>
        <w:t xml:space="preserve"> kn, najvećim dijelom zbog </w:t>
      </w:r>
      <w:r w:rsidR="00B75704">
        <w:rPr>
          <w:sz w:val="22"/>
          <w:szCs w:val="22"/>
        </w:rPr>
        <w:t>situacije izazvane zaraznom bolesti covid-19 koja je utjecala na smanjenje broja zaposlenih kao i na smanjeni promet u hotelskim i ugostiteljskim objektima.</w:t>
      </w:r>
      <w:r>
        <w:rPr>
          <w:sz w:val="22"/>
          <w:szCs w:val="22"/>
        </w:rPr>
        <w:t xml:space="preserve"> Najznačajnija </w:t>
      </w:r>
      <w:r w:rsidR="0075527A">
        <w:rPr>
          <w:sz w:val="22"/>
          <w:szCs w:val="22"/>
        </w:rPr>
        <w:t xml:space="preserve">smanjenja </w:t>
      </w:r>
      <w:r>
        <w:rPr>
          <w:sz w:val="22"/>
          <w:szCs w:val="22"/>
        </w:rPr>
        <w:t>u odnosu na 201</w:t>
      </w:r>
      <w:r w:rsidR="0075527A">
        <w:rPr>
          <w:sz w:val="22"/>
          <w:szCs w:val="22"/>
        </w:rPr>
        <w:t>9</w:t>
      </w:r>
      <w:r>
        <w:rPr>
          <w:sz w:val="22"/>
          <w:szCs w:val="22"/>
        </w:rPr>
        <w:t xml:space="preserve">. godinu u ovoj skupini prihoda bilježe prihodi od poreza i prireza na dohodak za </w:t>
      </w:r>
      <w:r w:rsidR="0075527A">
        <w:rPr>
          <w:sz w:val="22"/>
          <w:szCs w:val="22"/>
        </w:rPr>
        <w:t>67</w:t>
      </w:r>
      <w:r w:rsidR="00331532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75527A">
        <w:rPr>
          <w:sz w:val="22"/>
          <w:szCs w:val="22"/>
        </w:rPr>
        <w:t>435,57</w:t>
      </w:r>
      <w:r>
        <w:rPr>
          <w:sz w:val="22"/>
          <w:szCs w:val="22"/>
        </w:rPr>
        <w:t xml:space="preserve"> kn</w:t>
      </w:r>
      <w:r w:rsidR="00331532">
        <w:rPr>
          <w:sz w:val="22"/>
          <w:szCs w:val="22"/>
        </w:rPr>
        <w:t xml:space="preserve">, </w:t>
      </w:r>
      <w:r w:rsidR="0075527A">
        <w:rPr>
          <w:sz w:val="22"/>
          <w:szCs w:val="22"/>
        </w:rPr>
        <w:t xml:space="preserve">prihodi od poreza na potrošnju za </w:t>
      </w:r>
      <w:r w:rsidR="0089101A">
        <w:rPr>
          <w:sz w:val="22"/>
          <w:szCs w:val="22"/>
        </w:rPr>
        <w:t xml:space="preserve">336.253,75 kn i </w:t>
      </w:r>
      <w:r w:rsidR="00331532">
        <w:rPr>
          <w:sz w:val="22"/>
          <w:szCs w:val="22"/>
        </w:rPr>
        <w:t>prihod</w:t>
      </w:r>
      <w:r w:rsidR="0089101A">
        <w:rPr>
          <w:sz w:val="22"/>
          <w:szCs w:val="22"/>
        </w:rPr>
        <w:t>i</w:t>
      </w:r>
      <w:r w:rsidR="00331532">
        <w:rPr>
          <w:sz w:val="22"/>
          <w:szCs w:val="22"/>
        </w:rPr>
        <w:t xml:space="preserve"> od poreza na imovinu </w:t>
      </w:r>
      <w:r w:rsidR="0089101A">
        <w:rPr>
          <w:sz w:val="22"/>
          <w:szCs w:val="22"/>
        </w:rPr>
        <w:t>koji su smanjeni za 245.225,94 kn.</w:t>
      </w: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Prihodi od pomoći iz inozemstva i od subjekata unutar općeg proračuna </w:t>
      </w:r>
      <w:r>
        <w:rPr>
          <w:sz w:val="22"/>
          <w:szCs w:val="22"/>
        </w:rPr>
        <w:t xml:space="preserve">- ukupno su ostvareni </w:t>
      </w:r>
      <w:r w:rsidR="00B24709">
        <w:rPr>
          <w:sz w:val="22"/>
          <w:szCs w:val="22"/>
        </w:rPr>
        <w:t xml:space="preserve">u iznosu </w:t>
      </w:r>
      <w:r w:rsidR="00E74DEA">
        <w:rPr>
          <w:sz w:val="22"/>
          <w:szCs w:val="22"/>
        </w:rPr>
        <w:t xml:space="preserve">od </w:t>
      </w:r>
      <w:r w:rsidR="0027079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270791">
        <w:rPr>
          <w:sz w:val="22"/>
          <w:szCs w:val="22"/>
        </w:rPr>
        <w:t>772</w:t>
      </w:r>
      <w:r>
        <w:rPr>
          <w:sz w:val="22"/>
          <w:szCs w:val="22"/>
        </w:rPr>
        <w:t>.</w:t>
      </w:r>
      <w:r w:rsidR="00270791">
        <w:rPr>
          <w:sz w:val="22"/>
          <w:szCs w:val="22"/>
        </w:rPr>
        <w:t>291,54</w:t>
      </w:r>
      <w:r>
        <w:rPr>
          <w:sz w:val="22"/>
          <w:szCs w:val="22"/>
        </w:rPr>
        <w:t xml:space="preserve"> kn </w:t>
      </w:r>
      <w:r w:rsidR="00CF7A1C">
        <w:rPr>
          <w:sz w:val="22"/>
          <w:szCs w:val="22"/>
        </w:rPr>
        <w:t xml:space="preserve">i </w:t>
      </w:r>
      <w:r w:rsidR="00270791">
        <w:rPr>
          <w:sz w:val="22"/>
          <w:szCs w:val="22"/>
        </w:rPr>
        <w:t xml:space="preserve">manji </w:t>
      </w:r>
      <w:r w:rsidR="00CF7A1C">
        <w:rPr>
          <w:sz w:val="22"/>
          <w:szCs w:val="22"/>
        </w:rPr>
        <w:t xml:space="preserve">su za </w:t>
      </w:r>
      <w:r w:rsidR="00270791">
        <w:rPr>
          <w:sz w:val="22"/>
          <w:szCs w:val="22"/>
        </w:rPr>
        <w:t>1.595.508,46</w:t>
      </w:r>
      <w:r w:rsidR="00CF7A1C">
        <w:rPr>
          <w:sz w:val="22"/>
          <w:szCs w:val="22"/>
        </w:rPr>
        <w:t xml:space="preserve"> kn u odnosu </w:t>
      </w:r>
      <w:r>
        <w:rPr>
          <w:sz w:val="22"/>
          <w:szCs w:val="22"/>
        </w:rPr>
        <w:t>na 201</w:t>
      </w:r>
      <w:r w:rsidR="00270791">
        <w:rPr>
          <w:sz w:val="22"/>
          <w:szCs w:val="22"/>
        </w:rPr>
        <w:t>9</w:t>
      </w:r>
      <w:r w:rsidR="00CF7A1C">
        <w:rPr>
          <w:sz w:val="22"/>
          <w:szCs w:val="22"/>
        </w:rPr>
        <w:t>.</w:t>
      </w:r>
      <w:r>
        <w:rPr>
          <w:sz w:val="22"/>
          <w:szCs w:val="22"/>
        </w:rPr>
        <w:t xml:space="preserve"> godinu</w:t>
      </w:r>
      <w:r w:rsidR="00CF7A1C">
        <w:rPr>
          <w:sz w:val="22"/>
          <w:szCs w:val="22"/>
        </w:rPr>
        <w:t xml:space="preserve">. Od toga iznosa </w:t>
      </w:r>
      <w:r w:rsidR="00270791">
        <w:rPr>
          <w:sz w:val="22"/>
          <w:szCs w:val="22"/>
        </w:rPr>
        <w:t>115.739,44</w:t>
      </w:r>
      <w:r w:rsidR="00CF7A1C">
        <w:rPr>
          <w:sz w:val="22"/>
          <w:szCs w:val="22"/>
        </w:rPr>
        <w:t xml:space="preserve"> kn se odnosi na tekuće pomoći iz proračuna (3.800,00 kn od Splitsko-dalmatinske županije za sufinanciranje ogrjeva</w:t>
      </w:r>
      <w:r w:rsidR="006E0677">
        <w:rPr>
          <w:sz w:val="22"/>
          <w:szCs w:val="22"/>
        </w:rPr>
        <w:t xml:space="preserve"> i </w:t>
      </w:r>
      <w:r w:rsidR="00270791">
        <w:rPr>
          <w:sz w:val="22"/>
          <w:szCs w:val="22"/>
        </w:rPr>
        <w:t>115.739,44 kn kompenzacijska sredstva iz državnog proračuna</w:t>
      </w:r>
      <w:r w:rsidR="00CF7A1C">
        <w:rPr>
          <w:sz w:val="22"/>
          <w:szCs w:val="22"/>
        </w:rPr>
        <w:t xml:space="preserve">), a </w:t>
      </w:r>
      <w:r w:rsidR="00270791">
        <w:rPr>
          <w:sz w:val="22"/>
          <w:szCs w:val="22"/>
        </w:rPr>
        <w:t>1</w:t>
      </w:r>
      <w:r w:rsidR="00CF7A1C">
        <w:rPr>
          <w:sz w:val="22"/>
          <w:szCs w:val="22"/>
        </w:rPr>
        <w:t>.</w:t>
      </w:r>
      <w:r w:rsidR="00270791">
        <w:rPr>
          <w:sz w:val="22"/>
          <w:szCs w:val="22"/>
        </w:rPr>
        <w:t>653</w:t>
      </w:r>
      <w:r w:rsidR="00CF7A1C">
        <w:rPr>
          <w:sz w:val="22"/>
          <w:szCs w:val="22"/>
        </w:rPr>
        <w:t>.</w:t>
      </w:r>
      <w:r w:rsidR="00270791">
        <w:rPr>
          <w:sz w:val="22"/>
          <w:szCs w:val="22"/>
        </w:rPr>
        <w:t>402,10</w:t>
      </w:r>
      <w:r w:rsidR="00CF7A1C">
        <w:rPr>
          <w:sz w:val="22"/>
          <w:szCs w:val="22"/>
        </w:rPr>
        <w:t xml:space="preserve"> kn na kapitalne pomoći iz proračuna. Kapitalne pomoći su ostvarene od strane </w:t>
      </w:r>
      <w:r w:rsidR="00270791">
        <w:rPr>
          <w:sz w:val="22"/>
          <w:szCs w:val="22"/>
        </w:rPr>
        <w:t xml:space="preserve">Ministarstva turizma </w:t>
      </w:r>
      <w:r w:rsidR="00CF7A1C">
        <w:rPr>
          <w:sz w:val="22"/>
          <w:szCs w:val="22"/>
        </w:rPr>
        <w:t>u iznosu od 3</w:t>
      </w:r>
      <w:r w:rsidR="00270791">
        <w:rPr>
          <w:sz w:val="22"/>
          <w:szCs w:val="22"/>
        </w:rPr>
        <w:t>2</w:t>
      </w:r>
      <w:r w:rsidR="00CF7A1C">
        <w:rPr>
          <w:sz w:val="22"/>
          <w:szCs w:val="22"/>
        </w:rPr>
        <w:t xml:space="preserve">0.000,00 kn  (za projekt uređenja obalnog pojasa od Marine do Gospina potoka) i </w:t>
      </w:r>
      <w:r w:rsidR="00270791">
        <w:rPr>
          <w:sz w:val="22"/>
          <w:szCs w:val="22"/>
        </w:rPr>
        <w:t xml:space="preserve">Agencije za plaćanja u poljoprivredi, ribarstvu i ruralnom razvoju  u iznosu od 1.333.402,10 </w:t>
      </w:r>
      <w:r w:rsidR="00CF7A1C">
        <w:rPr>
          <w:sz w:val="22"/>
          <w:szCs w:val="22"/>
        </w:rPr>
        <w:t>kn</w:t>
      </w:r>
      <w:r w:rsidR="00270791">
        <w:rPr>
          <w:sz w:val="22"/>
          <w:szCs w:val="22"/>
        </w:rPr>
        <w:t xml:space="preserve"> ( O</w:t>
      </w:r>
      <w:r w:rsidR="00DD3702">
        <w:rPr>
          <w:sz w:val="22"/>
          <w:szCs w:val="22"/>
        </w:rPr>
        <w:t>d</w:t>
      </w:r>
      <w:r w:rsidR="00270791">
        <w:rPr>
          <w:sz w:val="22"/>
          <w:szCs w:val="22"/>
        </w:rPr>
        <w:t xml:space="preserve"> toga iznosa 1.113</w:t>
      </w:r>
      <w:r w:rsidR="00DD3702">
        <w:rPr>
          <w:sz w:val="22"/>
          <w:szCs w:val="22"/>
        </w:rPr>
        <w:t>.</w:t>
      </w:r>
      <w:r w:rsidR="00270791">
        <w:rPr>
          <w:sz w:val="22"/>
          <w:szCs w:val="22"/>
        </w:rPr>
        <w:t>402,10</w:t>
      </w:r>
      <w:r w:rsidR="00DD3702">
        <w:rPr>
          <w:sz w:val="22"/>
          <w:szCs w:val="22"/>
        </w:rPr>
        <w:t xml:space="preserve"> </w:t>
      </w:r>
      <w:r w:rsidR="00270791">
        <w:rPr>
          <w:sz w:val="22"/>
          <w:szCs w:val="22"/>
        </w:rPr>
        <w:t>kn se odnosi na izgradnju sabirne sjeverne prometnice UT zone T1 – zone hotela „Jadran“</w:t>
      </w:r>
      <w:r w:rsidR="004E28B3">
        <w:rPr>
          <w:sz w:val="22"/>
          <w:szCs w:val="22"/>
        </w:rPr>
        <w:t>, a 220.000,00 kn za uređenje neposrednog okoliša dječjeg vrtića „Grdelin“ ).</w:t>
      </w:r>
    </w:p>
    <w:p w:rsidR="00CF7A1C" w:rsidRDefault="00CF7A1C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Prihodi od imovine </w:t>
      </w:r>
      <w:r w:rsidR="007B673A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 w:rsidR="007B673A">
        <w:rPr>
          <w:sz w:val="22"/>
          <w:szCs w:val="22"/>
        </w:rPr>
        <w:t xml:space="preserve">ostvareni su ukupnom iznosu od </w:t>
      </w:r>
      <w:r w:rsidR="004A3186">
        <w:rPr>
          <w:sz w:val="22"/>
          <w:szCs w:val="22"/>
        </w:rPr>
        <w:t>368</w:t>
      </w:r>
      <w:r w:rsidR="007B673A">
        <w:rPr>
          <w:sz w:val="22"/>
          <w:szCs w:val="22"/>
        </w:rPr>
        <w:t>.</w:t>
      </w:r>
      <w:r w:rsidR="004A3186">
        <w:rPr>
          <w:sz w:val="22"/>
          <w:szCs w:val="22"/>
        </w:rPr>
        <w:t xml:space="preserve">903,86 </w:t>
      </w:r>
      <w:r w:rsidR="007B673A">
        <w:rPr>
          <w:sz w:val="22"/>
          <w:szCs w:val="22"/>
        </w:rPr>
        <w:t xml:space="preserve">kn i nešto su </w:t>
      </w:r>
      <w:r w:rsidR="004A3186">
        <w:rPr>
          <w:sz w:val="22"/>
          <w:szCs w:val="22"/>
        </w:rPr>
        <w:t xml:space="preserve">manji </w:t>
      </w:r>
      <w:r w:rsidR="007B673A">
        <w:rPr>
          <w:sz w:val="22"/>
          <w:szCs w:val="22"/>
        </w:rPr>
        <w:t>u odnosu na 201</w:t>
      </w:r>
      <w:r w:rsidR="004A3186">
        <w:rPr>
          <w:sz w:val="22"/>
          <w:szCs w:val="22"/>
        </w:rPr>
        <w:t>9</w:t>
      </w:r>
      <w:r w:rsidR="007B673A">
        <w:rPr>
          <w:sz w:val="22"/>
          <w:szCs w:val="22"/>
        </w:rPr>
        <w:t>.godini. Na njih</w:t>
      </w:r>
      <w:r w:rsidR="009F6486">
        <w:rPr>
          <w:sz w:val="22"/>
          <w:szCs w:val="22"/>
        </w:rPr>
        <w:t>o</w:t>
      </w:r>
      <w:r w:rsidR="007B673A">
        <w:rPr>
          <w:sz w:val="22"/>
          <w:szCs w:val="22"/>
        </w:rPr>
        <w:t xml:space="preserve">vo </w:t>
      </w:r>
      <w:r w:rsidR="004A3186">
        <w:rPr>
          <w:sz w:val="22"/>
          <w:szCs w:val="22"/>
        </w:rPr>
        <w:t xml:space="preserve">smanjenje </w:t>
      </w:r>
      <w:r w:rsidR="007B673A">
        <w:rPr>
          <w:sz w:val="22"/>
          <w:szCs w:val="22"/>
        </w:rPr>
        <w:t xml:space="preserve">najviše je utjecalo </w:t>
      </w:r>
      <w:r w:rsidR="004A3186">
        <w:rPr>
          <w:sz w:val="22"/>
          <w:szCs w:val="22"/>
        </w:rPr>
        <w:t xml:space="preserve">smanjenje </w:t>
      </w:r>
      <w:r w:rsidR="007B673A">
        <w:rPr>
          <w:sz w:val="22"/>
          <w:szCs w:val="22"/>
        </w:rPr>
        <w:t xml:space="preserve">prihoda od naknada za koncesije kao i </w:t>
      </w:r>
      <w:r w:rsidR="002D0DAC">
        <w:rPr>
          <w:sz w:val="22"/>
          <w:szCs w:val="22"/>
        </w:rPr>
        <w:t>smanjenje prihoda od naknade za zadržavanje nezakonito izgrađenih zgrada u prostoru.</w:t>
      </w: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Prihodi od upravnih i administrativnih pristojbi, pristojbi po posebnim propisima i naknada -</w:t>
      </w:r>
      <w:bookmarkStart w:id="1" w:name="_Hlk40353818"/>
      <w:r w:rsidR="00CB2046">
        <w:rPr>
          <w:sz w:val="22"/>
          <w:szCs w:val="22"/>
        </w:rPr>
        <w:t xml:space="preserve">su ostvareni u iznosu od </w:t>
      </w:r>
      <w:r w:rsidR="00CC5F2E">
        <w:rPr>
          <w:sz w:val="22"/>
          <w:szCs w:val="22"/>
        </w:rPr>
        <w:t>3</w:t>
      </w:r>
      <w:r w:rsidR="00CB2046">
        <w:rPr>
          <w:sz w:val="22"/>
          <w:szCs w:val="22"/>
        </w:rPr>
        <w:t>.</w:t>
      </w:r>
      <w:r w:rsidR="00CC5F2E">
        <w:rPr>
          <w:sz w:val="22"/>
          <w:szCs w:val="22"/>
        </w:rPr>
        <w:t>188.436,19</w:t>
      </w:r>
      <w:r w:rsidR="00CB2046">
        <w:rPr>
          <w:sz w:val="22"/>
          <w:szCs w:val="22"/>
        </w:rPr>
        <w:t xml:space="preserve"> kn i </w:t>
      </w:r>
      <w:r w:rsidR="00CC5F2E">
        <w:rPr>
          <w:sz w:val="22"/>
          <w:szCs w:val="22"/>
        </w:rPr>
        <w:t xml:space="preserve">znatno </w:t>
      </w:r>
      <w:r w:rsidR="00CB2046">
        <w:rPr>
          <w:sz w:val="22"/>
          <w:szCs w:val="22"/>
        </w:rPr>
        <w:t xml:space="preserve">su </w:t>
      </w:r>
      <w:r w:rsidR="00CC5F2E">
        <w:rPr>
          <w:sz w:val="22"/>
          <w:szCs w:val="22"/>
        </w:rPr>
        <w:t>manji</w:t>
      </w:r>
      <w:r w:rsidR="00CB2046">
        <w:rPr>
          <w:sz w:val="22"/>
          <w:szCs w:val="22"/>
        </w:rPr>
        <w:t xml:space="preserve"> u odnosu na prethodnu godinu. Najznačajniji su prihodi od komunalnog doprinosa u iznosu od </w:t>
      </w:r>
      <w:r w:rsidR="00CC5F2E">
        <w:rPr>
          <w:sz w:val="22"/>
          <w:szCs w:val="22"/>
        </w:rPr>
        <w:t>1</w:t>
      </w:r>
      <w:r w:rsidR="00CB2046">
        <w:rPr>
          <w:sz w:val="22"/>
          <w:szCs w:val="22"/>
        </w:rPr>
        <w:t>.5</w:t>
      </w:r>
      <w:r w:rsidR="00CC5F2E">
        <w:rPr>
          <w:sz w:val="22"/>
          <w:szCs w:val="22"/>
        </w:rPr>
        <w:t>23</w:t>
      </w:r>
      <w:r w:rsidR="00CB2046">
        <w:rPr>
          <w:sz w:val="22"/>
          <w:szCs w:val="22"/>
        </w:rPr>
        <w:t>.</w:t>
      </w:r>
      <w:r w:rsidR="00CC5F2E">
        <w:rPr>
          <w:sz w:val="22"/>
          <w:szCs w:val="22"/>
        </w:rPr>
        <w:t>558</w:t>
      </w:r>
      <w:r w:rsidR="00CB2046">
        <w:rPr>
          <w:sz w:val="22"/>
          <w:szCs w:val="22"/>
        </w:rPr>
        <w:t>,</w:t>
      </w:r>
      <w:r w:rsidR="00CC5F2E">
        <w:rPr>
          <w:sz w:val="22"/>
          <w:szCs w:val="22"/>
        </w:rPr>
        <w:t>2</w:t>
      </w:r>
      <w:r w:rsidR="00CB2046">
        <w:rPr>
          <w:sz w:val="22"/>
          <w:szCs w:val="22"/>
        </w:rPr>
        <w:t xml:space="preserve">2 (manji su u odnosu na prethodnu godinu za </w:t>
      </w:r>
      <w:r w:rsidR="004C4D6F">
        <w:rPr>
          <w:sz w:val="22"/>
          <w:szCs w:val="22"/>
        </w:rPr>
        <w:t>1.064.363,80</w:t>
      </w:r>
      <w:r w:rsidR="00CB2046">
        <w:rPr>
          <w:sz w:val="22"/>
          <w:szCs w:val="22"/>
        </w:rPr>
        <w:t xml:space="preserve"> kn), prihodi od komunalne naknade u iznosu od </w:t>
      </w:r>
      <w:r w:rsidR="00CC5F2E">
        <w:rPr>
          <w:sz w:val="22"/>
          <w:szCs w:val="22"/>
        </w:rPr>
        <w:t>635</w:t>
      </w:r>
      <w:r w:rsidR="00CB2046">
        <w:rPr>
          <w:sz w:val="22"/>
          <w:szCs w:val="22"/>
        </w:rPr>
        <w:t>.</w:t>
      </w:r>
      <w:r w:rsidR="00CC5F2E">
        <w:rPr>
          <w:sz w:val="22"/>
          <w:szCs w:val="22"/>
        </w:rPr>
        <w:t>061,41</w:t>
      </w:r>
      <w:r w:rsidR="00CB2046">
        <w:rPr>
          <w:sz w:val="22"/>
          <w:szCs w:val="22"/>
        </w:rPr>
        <w:t xml:space="preserve"> kn (</w:t>
      </w:r>
      <w:r w:rsidR="004C4D6F">
        <w:rPr>
          <w:sz w:val="22"/>
          <w:szCs w:val="22"/>
        </w:rPr>
        <w:t xml:space="preserve">manji su </w:t>
      </w:r>
      <w:r w:rsidR="00CB2046">
        <w:rPr>
          <w:sz w:val="22"/>
          <w:szCs w:val="22"/>
        </w:rPr>
        <w:t xml:space="preserve">u odnosu na prethodnu godinu za </w:t>
      </w:r>
      <w:r w:rsidR="004C4D6F">
        <w:rPr>
          <w:sz w:val="22"/>
          <w:szCs w:val="22"/>
        </w:rPr>
        <w:t>726.600,66</w:t>
      </w:r>
      <w:r w:rsidR="00CB2046">
        <w:rPr>
          <w:sz w:val="22"/>
          <w:szCs w:val="22"/>
        </w:rPr>
        <w:t xml:space="preserve"> kn), prihodi od upravnih i administrativnih pristojbi u iznosu od </w:t>
      </w:r>
      <w:r w:rsidR="00CC5F2E">
        <w:rPr>
          <w:sz w:val="22"/>
          <w:szCs w:val="22"/>
        </w:rPr>
        <w:t>354.028,75</w:t>
      </w:r>
      <w:r w:rsidR="00CB2046">
        <w:rPr>
          <w:sz w:val="22"/>
          <w:szCs w:val="22"/>
        </w:rPr>
        <w:t xml:space="preserve"> kn (</w:t>
      </w:r>
      <w:r w:rsidR="00996010">
        <w:rPr>
          <w:sz w:val="22"/>
          <w:szCs w:val="22"/>
        </w:rPr>
        <w:t xml:space="preserve">prihodi od boravišne pristojbe koji su </w:t>
      </w:r>
      <w:r w:rsidR="00CC5F2E">
        <w:rPr>
          <w:sz w:val="22"/>
          <w:szCs w:val="22"/>
        </w:rPr>
        <w:t xml:space="preserve">smanjeni </w:t>
      </w:r>
      <w:r w:rsidR="00996010">
        <w:rPr>
          <w:sz w:val="22"/>
          <w:szCs w:val="22"/>
        </w:rPr>
        <w:t xml:space="preserve">u odnosu na prethodnu godinu za </w:t>
      </w:r>
      <w:r w:rsidR="00CC5F2E">
        <w:rPr>
          <w:sz w:val="22"/>
          <w:szCs w:val="22"/>
        </w:rPr>
        <w:t xml:space="preserve">686.076,33 </w:t>
      </w:r>
      <w:r w:rsidR="00996010">
        <w:rPr>
          <w:sz w:val="22"/>
          <w:szCs w:val="22"/>
        </w:rPr>
        <w:t>kn</w:t>
      </w:r>
      <w:r w:rsidR="00CB2046">
        <w:rPr>
          <w:sz w:val="22"/>
          <w:szCs w:val="22"/>
        </w:rPr>
        <w:t xml:space="preserve">) i ostali nespomenuti prihodi u iznosu od </w:t>
      </w:r>
      <w:r w:rsidR="00CC5F2E">
        <w:rPr>
          <w:sz w:val="22"/>
          <w:szCs w:val="22"/>
        </w:rPr>
        <w:t>6</w:t>
      </w:r>
      <w:r w:rsidR="004C4D6F">
        <w:rPr>
          <w:sz w:val="22"/>
          <w:szCs w:val="22"/>
        </w:rPr>
        <w:t>7</w:t>
      </w:r>
      <w:r w:rsidR="00CC5F2E">
        <w:rPr>
          <w:sz w:val="22"/>
          <w:szCs w:val="22"/>
        </w:rPr>
        <w:t>5</w:t>
      </w:r>
      <w:r w:rsidR="00CB2046">
        <w:rPr>
          <w:sz w:val="22"/>
          <w:szCs w:val="22"/>
        </w:rPr>
        <w:t>.</w:t>
      </w:r>
      <w:r w:rsidR="004C4D6F">
        <w:rPr>
          <w:sz w:val="22"/>
          <w:szCs w:val="22"/>
        </w:rPr>
        <w:t>787,81</w:t>
      </w:r>
      <w:r w:rsidR="00CB2046">
        <w:rPr>
          <w:sz w:val="22"/>
          <w:szCs w:val="22"/>
        </w:rPr>
        <w:t xml:space="preserve"> kn (</w:t>
      </w:r>
      <w:r w:rsidR="00CC5F2E">
        <w:rPr>
          <w:sz w:val="22"/>
          <w:szCs w:val="22"/>
        </w:rPr>
        <w:t>ovo su jedini prihodi koji su povećani u odnosu na prethodnu godinu j</w:t>
      </w:r>
      <w:r w:rsidR="004C4D6F">
        <w:rPr>
          <w:sz w:val="22"/>
          <w:szCs w:val="22"/>
        </w:rPr>
        <w:t>er su uplaćeni prihodi od naknade po rješenju Hakom-a za period od 5 godina u iznosu od 568.827,05 kn.</w:t>
      </w:r>
      <w:r w:rsidR="00CB2046">
        <w:rPr>
          <w:sz w:val="22"/>
          <w:szCs w:val="22"/>
        </w:rPr>
        <w:t xml:space="preserve">). </w:t>
      </w:r>
    </w:p>
    <w:bookmarkEnd w:id="1"/>
    <w:p w:rsidR="00BE057A" w:rsidRDefault="00BE057A" w:rsidP="00BE057A">
      <w:pPr>
        <w:pStyle w:val="Default"/>
        <w:rPr>
          <w:sz w:val="22"/>
          <w:szCs w:val="22"/>
        </w:rPr>
      </w:pPr>
    </w:p>
    <w:p w:rsidR="007F4F76" w:rsidRDefault="00BE057A" w:rsidP="00BE057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Prihodi od prodaje proizvoda i robe te pruženih usluga i donacija - </w:t>
      </w:r>
      <w:r>
        <w:rPr>
          <w:sz w:val="22"/>
          <w:szCs w:val="22"/>
        </w:rPr>
        <w:t xml:space="preserve">u </w:t>
      </w:r>
      <w:r w:rsidR="003E2A52">
        <w:rPr>
          <w:sz w:val="22"/>
          <w:szCs w:val="22"/>
        </w:rPr>
        <w:t xml:space="preserve">2020.godini nisu ostvareni prihodi od prodaje proizvoda te pruženih usluga i donacija </w:t>
      </w:r>
      <w:r w:rsidR="007F4F76">
        <w:rPr>
          <w:sz w:val="22"/>
          <w:szCs w:val="22"/>
        </w:rPr>
        <w:t>.</w:t>
      </w:r>
    </w:p>
    <w:p w:rsidR="00BE057A" w:rsidRDefault="007F4F76" w:rsidP="00BE05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057A" w:rsidRDefault="00BE057A" w:rsidP="00BE057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Prihodi od kazni, upravnih mjera i ostali prihodi </w:t>
      </w: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ostvareni su </w:t>
      </w:r>
      <w:r w:rsidR="007F4F76">
        <w:rPr>
          <w:sz w:val="22"/>
          <w:szCs w:val="22"/>
        </w:rPr>
        <w:t xml:space="preserve">u iznosu od </w:t>
      </w:r>
      <w:r w:rsidR="00CB067D">
        <w:rPr>
          <w:sz w:val="22"/>
          <w:szCs w:val="22"/>
        </w:rPr>
        <w:t>31</w:t>
      </w:r>
      <w:r w:rsidR="007F4F76">
        <w:rPr>
          <w:sz w:val="22"/>
          <w:szCs w:val="22"/>
        </w:rPr>
        <w:t>.</w:t>
      </w:r>
      <w:r w:rsidR="00CB067D">
        <w:rPr>
          <w:sz w:val="22"/>
          <w:szCs w:val="22"/>
        </w:rPr>
        <w:t>3</w:t>
      </w:r>
      <w:r w:rsidR="007F4F76">
        <w:rPr>
          <w:sz w:val="22"/>
          <w:szCs w:val="22"/>
        </w:rPr>
        <w:t xml:space="preserve">50,00 i </w:t>
      </w:r>
      <w:r w:rsidR="00CB067D">
        <w:rPr>
          <w:sz w:val="22"/>
          <w:szCs w:val="22"/>
        </w:rPr>
        <w:t>manji</w:t>
      </w:r>
      <w:r w:rsidR="007F4F76">
        <w:rPr>
          <w:sz w:val="22"/>
          <w:szCs w:val="22"/>
        </w:rPr>
        <w:t xml:space="preserve"> su za </w:t>
      </w:r>
      <w:r w:rsidR="00CB067D">
        <w:rPr>
          <w:sz w:val="22"/>
          <w:szCs w:val="22"/>
        </w:rPr>
        <w:t>4</w:t>
      </w:r>
      <w:r w:rsidR="007F4F76">
        <w:rPr>
          <w:sz w:val="22"/>
          <w:szCs w:val="22"/>
        </w:rPr>
        <w:t>5.</w:t>
      </w:r>
      <w:r w:rsidR="00CB067D">
        <w:rPr>
          <w:sz w:val="22"/>
          <w:szCs w:val="22"/>
        </w:rPr>
        <w:t>10</w:t>
      </w:r>
      <w:r w:rsidR="007F4F76">
        <w:rPr>
          <w:sz w:val="22"/>
          <w:szCs w:val="22"/>
        </w:rPr>
        <w:t>0,00 kn u odnosu na 201</w:t>
      </w:r>
      <w:r w:rsidR="00CB067D">
        <w:rPr>
          <w:sz w:val="22"/>
          <w:szCs w:val="22"/>
        </w:rPr>
        <w:t>9</w:t>
      </w:r>
      <w:r w:rsidR="007F4F76">
        <w:rPr>
          <w:sz w:val="22"/>
          <w:szCs w:val="22"/>
        </w:rPr>
        <w:t>.godinu (</w:t>
      </w:r>
      <w:r w:rsidR="00CB067D">
        <w:rPr>
          <w:sz w:val="22"/>
          <w:szCs w:val="22"/>
        </w:rPr>
        <w:t xml:space="preserve">manji </w:t>
      </w:r>
      <w:r w:rsidR="007F4F76">
        <w:rPr>
          <w:sz w:val="22"/>
          <w:szCs w:val="22"/>
        </w:rPr>
        <w:t>broj izdanih i naplaćenih prekršajnih naloga u odnosu na prethodnu godinu).</w:t>
      </w:r>
    </w:p>
    <w:p w:rsidR="00BE057A" w:rsidRDefault="00BE057A" w:rsidP="00BE057A">
      <w:pPr>
        <w:pStyle w:val="Default"/>
        <w:rPr>
          <w:sz w:val="22"/>
          <w:szCs w:val="22"/>
        </w:rPr>
      </w:pPr>
    </w:p>
    <w:p w:rsidR="00F44D9B" w:rsidRDefault="00BE057A" w:rsidP="00F44D9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i/>
          <w:iCs/>
          <w:sz w:val="22"/>
          <w:szCs w:val="22"/>
        </w:rPr>
        <w:t xml:space="preserve">Prihodi od prodaje nefinancijske imovine </w:t>
      </w:r>
      <w:r>
        <w:rPr>
          <w:sz w:val="22"/>
          <w:szCs w:val="22"/>
        </w:rPr>
        <w:t xml:space="preserve">– ostvareni su </w:t>
      </w:r>
      <w:r w:rsidR="00F44D9B">
        <w:rPr>
          <w:sz w:val="22"/>
          <w:szCs w:val="22"/>
        </w:rPr>
        <w:t xml:space="preserve">u iznosu od </w:t>
      </w:r>
      <w:r w:rsidR="00767A21">
        <w:rPr>
          <w:sz w:val="22"/>
          <w:szCs w:val="22"/>
        </w:rPr>
        <w:t>135.951,83</w:t>
      </w:r>
      <w:r w:rsidR="00F44D9B">
        <w:rPr>
          <w:sz w:val="22"/>
          <w:szCs w:val="22"/>
        </w:rPr>
        <w:t xml:space="preserve"> kn i </w:t>
      </w:r>
      <w:r w:rsidR="00F44D9B" w:rsidRPr="00354CA6">
        <w:rPr>
          <w:sz w:val="22"/>
          <w:szCs w:val="22"/>
          <w:lang w:val="hr-HR"/>
        </w:rPr>
        <w:t>značajno</w:t>
      </w:r>
      <w:r w:rsidR="00F44D9B">
        <w:rPr>
          <w:sz w:val="22"/>
          <w:szCs w:val="22"/>
        </w:rPr>
        <w:t xml:space="preserve"> </w:t>
      </w:r>
      <w:r w:rsidR="00F44D9B" w:rsidRPr="00354CA6">
        <w:rPr>
          <w:sz w:val="22"/>
          <w:szCs w:val="22"/>
          <w:lang w:val="hr-HR"/>
        </w:rPr>
        <w:t>su</w:t>
      </w:r>
      <w:r w:rsidR="00F44D9B">
        <w:rPr>
          <w:sz w:val="22"/>
          <w:szCs w:val="22"/>
        </w:rPr>
        <w:t xml:space="preserve"> </w:t>
      </w:r>
      <w:r w:rsidR="00767A21">
        <w:rPr>
          <w:sz w:val="22"/>
          <w:szCs w:val="22"/>
        </w:rPr>
        <w:t xml:space="preserve">manji </w:t>
      </w:r>
      <w:r w:rsidR="00F44D9B">
        <w:rPr>
          <w:sz w:val="22"/>
          <w:szCs w:val="22"/>
        </w:rPr>
        <w:t>u odnosu na 201</w:t>
      </w:r>
      <w:r w:rsidR="00767A21">
        <w:rPr>
          <w:sz w:val="22"/>
          <w:szCs w:val="22"/>
        </w:rPr>
        <w:t>9</w:t>
      </w:r>
      <w:r w:rsidR="00F44D9B">
        <w:rPr>
          <w:sz w:val="22"/>
          <w:szCs w:val="22"/>
        </w:rPr>
        <w:t>.godinu (</w:t>
      </w:r>
      <w:r w:rsidR="00F44D9B" w:rsidRPr="00F44D9B">
        <w:rPr>
          <w:color w:val="000000"/>
          <w:sz w:val="22"/>
          <w:szCs w:val="22"/>
          <w:lang w:val="hr-HR" w:eastAsia="hr-HR"/>
        </w:rPr>
        <w:t xml:space="preserve">Prihodi od prodaje zemljišta su ostvareni temeljem ugovora iz 2017.godine sa Markom i Marinkom Čovićem u iznosu od </w:t>
      </w:r>
      <w:r w:rsidR="00767A21">
        <w:rPr>
          <w:color w:val="000000"/>
          <w:sz w:val="22"/>
          <w:szCs w:val="22"/>
          <w:lang w:val="hr-HR" w:eastAsia="hr-HR"/>
        </w:rPr>
        <w:t>21</w:t>
      </w:r>
      <w:r w:rsidR="00F44D9B" w:rsidRPr="00F44D9B">
        <w:rPr>
          <w:color w:val="000000"/>
          <w:sz w:val="22"/>
          <w:szCs w:val="22"/>
          <w:lang w:val="hr-HR" w:eastAsia="hr-HR"/>
        </w:rPr>
        <w:t>.</w:t>
      </w:r>
      <w:r w:rsidR="00767A21">
        <w:rPr>
          <w:color w:val="000000"/>
          <w:sz w:val="22"/>
          <w:szCs w:val="22"/>
          <w:lang w:val="hr-HR" w:eastAsia="hr-HR"/>
        </w:rPr>
        <w:t>996,99</w:t>
      </w:r>
      <w:r w:rsidR="00F44D9B" w:rsidRPr="00F44D9B">
        <w:rPr>
          <w:color w:val="000000"/>
          <w:sz w:val="22"/>
          <w:szCs w:val="22"/>
          <w:lang w:val="hr-HR" w:eastAsia="hr-HR"/>
        </w:rPr>
        <w:t xml:space="preserve"> kn</w:t>
      </w:r>
      <w:r w:rsidR="00CB067D">
        <w:rPr>
          <w:color w:val="000000"/>
          <w:sz w:val="22"/>
          <w:szCs w:val="22"/>
          <w:lang w:val="hr-HR" w:eastAsia="hr-HR"/>
        </w:rPr>
        <w:t xml:space="preserve"> i</w:t>
      </w:r>
      <w:r w:rsidR="00F44D9B" w:rsidRPr="00F44D9B">
        <w:rPr>
          <w:color w:val="000000"/>
          <w:sz w:val="22"/>
          <w:szCs w:val="22"/>
          <w:lang w:val="hr-HR" w:eastAsia="hr-HR"/>
        </w:rPr>
        <w:t xml:space="preserve"> ugovora iz 20</w:t>
      </w:r>
      <w:r w:rsidR="00767A21">
        <w:rPr>
          <w:color w:val="000000"/>
          <w:sz w:val="22"/>
          <w:szCs w:val="22"/>
          <w:lang w:val="hr-HR" w:eastAsia="hr-HR"/>
        </w:rPr>
        <w:t>20</w:t>
      </w:r>
      <w:r w:rsidR="00F44D9B" w:rsidRPr="00F44D9B">
        <w:rPr>
          <w:color w:val="000000"/>
          <w:sz w:val="22"/>
          <w:szCs w:val="22"/>
          <w:lang w:val="hr-HR" w:eastAsia="hr-HR"/>
        </w:rPr>
        <w:t xml:space="preserve">.godine sa </w:t>
      </w:r>
      <w:r w:rsidR="00767A21">
        <w:rPr>
          <w:color w:val="000000"/>
          <w:sz w:val="22"/>
          <w:szCs w:val="22"/>
          <w:lang w:val="hr-HR" w:eastAsia="hr-HR"/>
        </w:rPr>
        <w:t>Mladenom Čovićem u iznosu od 113.954,84</w:t>
      </w:r>
      <w:r w:rsidR="00F44D9B" w:rsidRPr="00F44D9B">
        <w:rPr>
          <w:color w:val="000000"/>
          <w:sz w:val="22"/>
          <w:szCs w:val="22"/>
          <w:lang w:val="hr-HR" w:eastAsia="hr-HR"/>
        </w:rPr>
        <w:t xml:space="preserve"> kn</w:t>
      </w:r>
      <w:r w:rsidR="0006706B">
        <w:rPr>
          <w:color w:val="000000"/>
          <w:sz w:val="22"/>
          <w:szCs w:val="22"/>
          <w:lang w:val="hr-HR" w:eastAsia="hr-HR"/>
        </w:rPr>
        <w:t>)</w:t>
      </w:r>
      <w:r w:rsidR="00F44D9B" w:rsidRPr="00F44D9B">
        <w:rPr>
          <w:color w:val="000000"/>
          <w:sz w:val="22"/>
          <w:szCs w:val="22"/>
          <w:lang w:val="hr-HR" w:eastAsia="hr-HR"/>
        </w:rPr>
        <w:t>.</w:t>
      </w:r>
      <w:r w:rsidR="00F44D9B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</w:p>
    <w:p w:rsidR="00BE057A" w:rsidRDefault="00BE057A" w:rsidP="00BE057A">
      <w:pPr>
        <w:pStyle w:val="Default"/>
        <w:rPr>
          <w:sz w:val="22"/>
          <w:szCs w:val="22"/>
        </w:rPr>
      </w:pPr>
    </w:p>
    <w:p w:rsidR="008973D1" w:rsidRDefault="008973D1" w:rsidP="008973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Primici od financijske imovine i zaduživanja </w:t>
      </w:r>
      <w:r w:rsidR="009114B9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114B9" w:rsidRPr="009114B9">
        <w:rPr>
          <w:sz w:val="22"/>
          <w:szCs w:val="22"/>
        </w:rPr>
        <w:t>u 20</w:t>
      </w:r>
      <w:r w:rsidR="00DB24A9">
        <w:rPr>
          <w:sz w:val="22"/>
          <w:szCs w:val="22"/>
        </w:rPr>
        <w:t>20</w:t>
      </w:r>
      <w:r w:rsidR="009114B9" w:rsidRPr="009114B9">
        <w:rPr>
          <w:sz w:val="22"/>
          <w:szCs w:val="22"/>
        </w:rPr>
        <w:t xml:space="preserve">.godini Općina Tučepi </w:t>
      </w:r>
      <w:r w:rsidR="009114B9">
        <w:rPr>
          <w:sz w:val="22"/>
          <w:szCs w:val="22"/>
        </w:rPr>
        <w:t>ostvarila</w:t>
      </w:r>
      <w:r w:rsidR="00DB24A9">
        <w:rPr>
          <w:sz w:val="22"/>
          <w:szCs w:val="22"/>
        </w:rPr>
        <w:t xml:space="preserve"> je</w:t>
      </w:r>
      <w:r w:rsidR="009114B9">
        <w:rPr>
          <w:sz w:val="22"/>
          <w:szCs w:val="22"/>
        </w:rPr>
        <w:t xml:space="preserve"> primitke</w:t>
      </w:r>
      <w:r w:rsidR="00DB24A9">
        <w:rPr>
          <w:sz w:val="22"/>
          <w:szCs w:val="22"/>
        </w:rPr>
        <w:t xml:space="preserve"> u iznosu od 479.317,33 kn a odnose se na be</w:t>
      </w:r>
      <w:r w:rsidR="00594584">
        <w:rPr>
          <w:sz w:val="22"/>
          <w:szCs w:val="22"/>
        </w:rPr>
        <w:t>s</w:t>
      </w:r>
      <w:r w:rsidR="00DB24A9">
        <w:rPr>
          <w:sz w:val="22"/>
          <w:szCs w:val="22"/>
        </w:rPr>
        <w:t>kamatne zajmove od Ministarstva financija.</w:t>
      </w:r>
    </w:p>
    <w:p w:rsidR="00280491" w:rsidRDefault="00280491" w:rsidP="008973D1">
      <w:pPr>
        <w:pStyle w:val="Default"/>
        <w:rPr>
          <w:sz w:val="22"/>
          <w:szCs w:val="22"/>
        </w:rPr>
      </w:pPr>
    </w:p>
    <w:p w:rsidR="008973D1" w:rsidRDefault="008973D1" w:rsidP="008973D1">
      <w:pPr>
        <w:pStyle w:val="Default"/>
        <w:rPr>
          <w:sz w:val="22"/>
          <w:szCs w:val="22"/>
        </w:rPr>
      </w:pPr>
    </w:p>
    <w:p w:rsidR="008973D1" w:rsidRDefault="008973D1" w:rsidP="008973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Izvještaj o rashodima i izdacima </w:t>
      </w:r>
      <w:r w:rsidR="001B2414">
        <w:rPr>
          <w:b/>
          <w:bCs/>
          <w:sz w:val="22"/>
          <w:szCs w:val="22"/>
        </w:rPr>
        <w:t xml:space="preserve"> </w:t>
      </w:r>
    </w:p>
    <w:p w:rsidR="008973D1" w:rsidRDefault="008973D1" w:rsidP="008973D1">
      <w:pPr>
        <w:pStyle w:val="Default"/>
        <w:rPr>
          <w:b/>
          <w:bCs/>
          <w:sz w:val="22"/>
          <w:szCs w:val="22"/>
        </w:rPr>
      </w:pPr>
    </w:p>
    <w:p w:rsidR="0009016D" w:rsidRDefault="0009016D" w:rsidP="00090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Ukupni rashodi i izdaci su ostvareni u iznosu od </w:t>
      </w:r>
      <w:r w:rsidR="009C75BD">
        <w:rPr>
          <w:sz w:val="22"/>
          <w:szCs w:val="22"/>
        </w:rPr>
        <w:t>12</w:t>
      </w:r>
      <w:r w:rsidR="003D4464">
        <w:rPr>
          <w:sz w:val="22"/>
          <w:szCs w:val="22"/>
        </w:rPr>
        <w:t>.</w:t>
      </w:r>
      <w:r w:rsidR="009C75BD">
        <w:rPr>
          <w:sz w:val="22"/>
          <w:szCs w:val="22"/>
        </w:rPr>
        <w:t>319</w:t>
      </w:r>
      <w:r w:rsidR="003D4464">
        <w:rPr>
          <w:sz w:val="22"/>
          <w:szCs w:val="22"/>
        </w:rPr>
        <w:t>.</w:t>
      </w:r>
      <w:r w:rsidR="009C75BD">
        <w:rPr>
          <w:sz w:val="22"/>
          <w:szCs w:val="22"/>
        </w:rPr>
        <w:t>659,56</w:t>
      </w:r>
      <w:r w:rsidR="003D44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kn što je za </w:t>
      </w:r>
      <w:r w:rsidR="009C75B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9C75BD">
        <w:rPr>
          <w:sz w:val="22"/>
          <w:szCs w:val="22"/>
        </w:rPr>
        <w:t>85</w:t>
      </w:r>
      <w:r>
        <w:rPr>
          <w:sz w:val="22"/>
          <w:szCs w:val="22"/>
        </w:rPr>
        <w:t>3.3</w:t>
      </w:r>
      <w:r w:rsidR="009C75BD">
        <w:rPr>
          <w:sz w:val="22"/>
          <w:szCs w:val="22"/>
        </w:rPr>
        <w:t>65</w:t>
      </w:r>
      <w:r w:rsidR="00A83B53">
        <w:rPr>
          <w:sz w:val="22"/>
          <w:szCs w:val="22"/>
        </w:rPr>
        <w:t>,</w:t>
      </w:r>
      <w:r w:rsidR="009C75BD">
        <w:rPr>
          <w:sz w:val="22"/>
          <w:szCs w:val="22"/>
        </w:rPr>
        <w:t>56</w:t>
      </w:r>
      <w:r>
        <w:rPr>
          <w:sz w:val="22"/>
          <w:szCs w:val="22"/>
        </w:rPr>
        <w:t xml:space="preserve"> kn </w:t>
      </w:r>
      <w:r w:rsidR="009C75BD">
        <w:rPr>
          <w:sz w:val="22"/>
          <w:szCs w:val="22"/>
        </w:rPr>
        <w:t>manje</w:t>
      </w:r>
      <w:r w:rsidR="00187EEF">
        <w:rPr>
          <w:sz w:val="22"/>
          <w:szCs w:val="22"/>
        </w:rPr>
        <w:t xml:space="preserve"> </w:t>
      </w:r>
      <w:r>
        <w:rPr>
          <w:sz w:val="22"/>
          <w:szCs w:val="22"/>
        </w:rPr>
        <w:t>u odnosu na 201</w:t>
      </w:r>
      <w:r w:rsidR="00022ADC">
        <w:rPr>
          <w:sz w:val="22"/>
          <w:szCs w:val="22"/>
        </w:rPr>
        <w:t>9</w:t>
      </w:r>
      <w:r>
        <w:rPr>
          <w:sz w:val="22"/>
          <w:szCs w:val="22"/>
        </w:rPr>
        <w:t>. godinu. U tablici u nastavku se daju podaci o ostvarenim rashodima i izdacima u 201</w:t>
      </w:r>
      <w:r w:rsidR="00022ADC">
        <w:rPr>
          <w:sz w:val="22"/>
          <w:szCs w:val="22"/>
        </w:rPr>
        <w:t>9</w:t>
      </w:r>
      <w:r>
        <w:rPr>
          <w:sz w:val="22"/>
          <w:szCs w:val="22"/>
        </w:rPr>
        <w:t>. i 20</w:t>
      </w:r>
      <w:r w:rsidR="00022ADC">
        <w:rPr>
          <w:sz w:val="22"/>
          <w:szCs w:val="22"/>
        </w:rPr>
        <w:t>20</w:t>
      </w:r>
      <w:r>
        <w:rPr>
          <w:sz w:val="22"/>
          <w:szCs w:val="22"/>
        </w:rPr>
        <w:t xml:space="preserve">. godini. </w:t>
      </w:r>
    </w:p>
    <w:p w:rsidR="008973D1" w:rsidRDefault="008973D1" w:rsidP="008973D1">
      <w:pPr>
        <w:pStyle w:val="Default"/>
        <w:rPr>
          <w:sz w:val="22"/>
          <w:szCs w:val="22"/>
        </w:rPr>
      </w:pPr>
    </w:p>
    <w:p w:rsidR="0009016D" w:rsidRDefault="0009016D" w:rsidP="008973D1">
      <w:pPr>
        <w:pStyle w:val="Default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449"/>
      </w:tblGrid>
      <w:tr w:rsidR="00394EDA" w:rsidTr="001F61B9">
        <w:tc>
          <w:tcPr>
            <w:tcW w:w="5098" w:type="dxa"/>
            <w:shd w:val="clear" w:color="auto" w:fill="7F7F7F" w:themeFill="text1" w:themeFillTint="80"/>
          </w:tcPr>
          <w:p w:rsidR="00394EDA" w:rsidRPr="000E1BCB" w:rsidRDefault="00394EDA" w:rsidP="00817500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Opis</w:t>
            </w:r>
          </w:p>
          <w:p w:rsidR="00394EDA" w:rsidRPr="000E1BCB" w:rsidRDefault="00394EDA" w:rsidP="008175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7F7F7F" w:themeFill="text1" w:themeFillTint="80"/>
          </w:tcPr>
          <w:p w:rsidR="00394EDA" w:rsidRPr="000E1BCB" w:rsidRDefault="00394EDA" w:rsidP="00817500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Ostvarenje 201</w:t>
            </w:r>
            <w:r w:rsidR="008305CC">
              <w:rPr>
                <w:b/>
                <w:bCs/>
                <w:sz w:val="20"/>
                <w:szCs w:val="20"/>
              </w:rPr>
              <w:t>9</w:t>
            </w:r>
          </w:p>
          <w:p w:rsidR="00394EDA" w:rsidRPr="000E1BCB" w:rsidRDefault="00394EDA" w:rsidP="008175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7F7F7F" w:themeFill="text1" w:themeFillTint="80"/>
          </w:tcPr>
          <w:p w:rsidR="00394EDA" w:rsidRPr="000E1BCB" w:rsidRDefault="00394EDA" w:rsidP="00817500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Ostvarenje 20</w:t>
            </w:r>
            <w:r w:rsidR="008305CC">
              <w:rPr>
                <w:b/>
                <w:bCs/>
                <w:sz w:val="20"/>
                <w:szCs w:val="20"/>
              </w:rPr>
              <w:t>20</w:t>
            </w:r>
          </w:p>
          <w:p w:rsidR="00394EDA" w:rsidRPr="000E1BCB" w:rsidRDefault="00394EDA" w:rsidP="00817500">
            <w:pPr>
              <w:pStyle w:val="Default"/>
              <w:rPr>
                <w:sz w:val="20"/>
                <w:szCs w:val="20"/>
              </w:rPr>
            </w:pPr>
          </w:p>
        </w:tc>
      </w:tr>
      <w:tr w:rsidR="008305CC" w:rsidTr="001F61B9">
        <w:tc>
          <w:tcPr>
            <w:tcW w:w="5098" w:type="dxa"/>
            <w:shd w:val="clear" w:color="auto" w:fill="AEAAAA" w:themeFill="background2" w:themeFillShade="BF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 xml:space="preserve">SVEUKUPNO </w:t>
            </w:r>
          </w:p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:rsidR="008305CC" w:rsidRPr="00420AAB" w:rsidRDefault="008305CC" w:rsidP="008305C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E3A8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420AAB">
              <w:rPr>
                <w:b/>
                <w:bCs/>
                <w:sz w:val="20"/>
                <w:szCs w:val="20"/>
              </w:rPr>
              <w:t>21.173.025</w:t>
            </w:r>
            <w:r>
              <w:rPr>
                <w:b/>
                <w:bCs/>
                <w:sz w:val="20"/>
                <w:szCs w:val="20"/>
              </w:rPr>
              <w:t>,12</w:t>
            </w:r>
          </w:p>
        </w:tc>
        <w:tc>
          <w:tcPr>
            <w:tcW w:w="2449" w:type="dxa"/>
            <w:shd w:val="clear" w:color="auto" w:fill="AEAAAA" w:themeFill="background2" w:themeFillShade="BF"/>
          </w:tcPr>
          <w:p w:rsidR="008305CC" w:rsidRPr="00420AAB" w:rsidRDefault="008305CC" w:rsidP="008305C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E3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D01899">
              <w:rPr>
                <w:b/>
                <w:bCs/>
                <w:sz w:val="20"/>
                <w:szCs w:val="20"/>
              </w:rPr>
              <w:t>12</w:t>
            </w:r>
            <w:r w:rsidRPr="00420AAB">
              <w:rPr>
                <w:b/>
                <w:bCs/>
                <w:sz w:val="20"/>
                <w:szCs w:val="20"/>
              </w:rPr>
              <w:t>.</w:t>
            </w:r>
            <w:r w:rsidR="00D01899">
              <w:rPr>
                <w:b/>
                <w:bCs/>
                <w:sz w:val="20"/>
                <w:szCs w:val="20"/>
              </w:rPr>
              <w:t>3</w:t>
            </w:r>
            <w:r w:rsidRPr="00420AAB">
              <w:rPr>
                <w:b/>
                <w:bCs/>
                <w:sz w:val="20"/>
                <w:szCs w:val="20"/>
              </w:rPr>
              <w:t>1</w:t>
            </w:r>
            <w:r w:rsidR="00D01899">
              <w:rPr>
                <w:b/>
                <w:bCs/>
                <w:sz w:val="20"/>
                <w:szCs w:val="20"/>
              </w:rPr>
              <w:t>9</w:t>
            </w:r>
            <w:r w:rsidRPr="00420AAB">
              <w:rPr>
                <w:b/>
                <w:bCs/>
                <w:sz w:val="20"/>
                <w:szCs w:val="20"/>
              </w:rPr>
              <w:t>.</w:t>
            </w:r>
            <w:r w:rsidR="00D01899">
              <w:rPr>
                <w:b/>
                <w:bCs/>
                <w:sz w:val="20"/>
                <w:szCs w:val="20"/>
              </w:rPr>
              <w:t>659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01899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8305CC" w:rsidTr="001D51DC">
        <w:trPr>
          <w:trHeight w:val="398"/>
        </w:trPr>
        <w:tc>
          <w:tcPr>
            <w:tcW w:w="5098" w:type="dxa"/>
            <w:shd w:val="clear" w:color="auto" w:fill="D0CECE" w:themeFill="background2" w:themeFillShade="E6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 xml:space="preserve">Rashodi poslovanja </w:t>
            </w:r>
          </w:p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8305CC" w:rsidRPr="00420AAB" w:rsidRDefault="008305CC" w:rsidP="008305C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CE3A8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420AAB">
              <w:rPr>
                <w:b/>
                <w:bCs/>
                <w:sz w:val="20"/>
                <w:szCs w:val="20"/>
              </w:rPr>
              <w:t>9.528.444</w:t>
            </w:r>
            <w:r>
              <w:rPr>
                <w:b/>
                <w:bCs/>
                <w:sz w:val="20"/>
                <w:szCs w:val="20"/>
              </w:rPr>
              <w:t>,17</w:t>
            </w:r>
          </w:p>
        </w:tc>
        <w:tc>
          <w:tcPr>
            <w:tcW w:w="2449" w:type="dxa"/>
            <w:shd w:val="clear" w:color="auto" w:fill="D0CECE" w:themeFill="background2" w:themeFillShade="E6"/>
          </w:tcPr>
          <w:p w:rsidR="008305CC" w:rsidRPr="00420AAB" w:rsidRDefault="008305CC" w:rsidP="008305C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E3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D01899">
              <w:rPr>
                <w:b/>
                <w:bCs/>
                <w:sz w:val="20"/>
                <w:szCs w:val="20"/>
              </w:rPr>
              <w:t>8.</w:t>
            </w:r>
            <w:r w:rsidRPr="00420AAB">
              <w:rPr>
                <w:b/>
                <w:bCs/>
                <w:sz w:val="20"/>
                <w:szCs w:val="20"/>
              </w:rPr>
              <w:t>5</w:t>
            </w:r>
            <w:r w:rsidR="00D01899">
              <w:rPr>
                <w:b/>
                <w:bCs/>
                <w:sz w:val="20"/>
                <w:szCs w:val="20"/>
              </w:rPr>
              <w:t>57</w:t>
            </w:r>
            <w:r w:rsidRPr="00420AAB">
              <w:rPr>
                <w:b/>
                <w:bCs/>
                <w:sz w:val="20"/>
                <w:szCs w:val="20"/>
              </w:rPr>
              <w:t>.</w:t>
            </w:r>
            <w:r w:rsidR="00D01899">
              <w:rPr>
                <w:b/>
                <w:bCs/>
                <w:sz w:val="20"/>
                <w:szCs w:val="20"/>
              </w:rPr>
              <w:t>551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01899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8305CC" w:rsidTr="00817500">
        <w:tc>
          <w:tcPr>
            <w:tcW w:w="5098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Rashodi za zaposlene</w:t>
            </w:r>
          </w:p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E3A8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862.284,60</w:t>
            </w:r>
          </w:p>
        </w:tc>
        <w:tc>
          <w:tcPr>
            <w:tcW w:w="2449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CE3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D01899">
              <w:rPr>
                <w:sz w:val="20"/>
                <w:szCs w:val="20"/>
              </w:rPr>
              <w:t>930</w:t>
            </w:r>
            <w:r>
              <w:rPr>
                <w:sz w:val="20"/>
                <w:szCs w:val="20"/>
              </w:rPr>
              <w:t>.</w:t>
            </w:r>
            <w:r w:rsidR="00D01899">
              <w:rPr>
                <w:sz w:val="20"/>
                <w:szCs w:val="20"/>
              </w:rPr>
              <w:t>553,03</w:t>
            </w:r>
          </w:p>
        </w:tc>
      </w:tr>
      <w:tr w:rsidR="008305CC" w:rsidTr="00817500">
        <w:tc>
          <w:tcPr>
            <w:tcW w:w="5098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Materijalni rashodi </w:t>
            </w:r>
          </w:p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E3A8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5.345.634,94</w:t>
            </w:r>
          </w:p>
        </w:tc>
        <w:tc>
          <w:tcPr>
            <w:tcW w:w="2449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0189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D01899">
              <w:rPr>
                <w:sz w:val="20"/>
                <w:szCs w:val="20"/>
              </w:rPr>
              <w:t>539</w:t>
            </w:r>
            <w:r>
              <w:rPr>
                <w:sz w:val="20"/>
                <w:szCs w:val="20"/>
              </w:rPr>
              <w:t>.</w:t>
            </w:r>
            <w:r w:rsidR="00D01899">
              <w:rPr>
                <w:sz w:val="20"/>
                <w:szCs w:val="20"/>
              </w:rPr>
              <w:t>828</w:t>
            </w:r>
            <w:r>
              <w:rPr>
                <w:sz w:val="20"/>
                <w:szCs w:val="20"/>
              </w:rPr>
              <w:t>,</w:t>
            </w:r>
            <w:r w:rsidR="00D01899">
              <w:rPr>
                <w:sz w:val="20"/>
                <w:szCs w:val="20"/>
              </w:rPr>
              <w:t>16</w:t>
            </w:r>
          </w:p>
        </w:tc>
      </w:tr>
      <w:tr w:rsidR="008305CC" w:rsidTr="00817500">
        <w:tc>
          <w:tcPr>
            <w:tcW w:w="5098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Financijski rashodi </w:t>
            </w:r>
          </w:p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E3A8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76.770,16</w:t>
            </w:r>
          </w:p>
        </w:tc>
        <w:tc>
          <w:tcPr>
            <w:tcW w:w="2449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D01899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</w:t>
            </w:r>
            <w:r w:rsidR="00D01899">
              <w:rPr>
                <w:sz w:val="20"/>
                <w:szCs w:val="20"/>
              </w:rPr>
              <w:t>385,27</w:t>
            </w:r>
          </w:p>
        </w:tc>
      </w:tr>
      <w:tr w:rsidR="008305CC" w:rsidTr="00817500">
        <w:tc>
          <w:tcPr>
            <w:tcW w:w="5098" w:type="dxa"/>
          </w:tcPr>
          <w:p w:rsidR="008305CC" w:rsidRPr="000E1BCB" w:rsidRDefault="00773B52" w:rsidP="00830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Subvencije</w:t>
            </w:r>
            <w:r w:rsidR="008305CC" w:rsidRPr="000E1BCB">
              <w:rPr>
                <w:sz w:val="20"/>
                <w:szCs w:val="20"/>
              </w:rPr>
              <w:t xml:space="preserve"> </w:t>
            </w:r>
          </w:p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E3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0,00</w:t>
            </w:r>
          </w:p>
        </w:tc>
        <w:tc>
          <w:tcPr>
            <w:tcW w:w="2449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773B52">
              <w:rPr>
                <w:sz w:val="20"/>
                <w:szCs w:val="20"/>
              </w:rPr>
              <w:t>545.906,85</w:t>
            </w:r>
          </w:p>
        </w:tc>
      </w:tr>
      <w:tr w:rsidR="008305CC" w:rsidTr="00817500">
        <w:tc>
          <w:tcPr>
            <w:tcW w:w="5098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Naknade građanima i kućanstvima na temelju osiguranja i druge naknade </w:t>
            </w:r>
          </w:p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E3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468.186,31</w:t>
            </w:r>
          </w:p>
        </w:tc>
        <w:tc>
          <w:tcPr>
            <w:tcW w:w="2449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D01899">
              <w:rPr>
                <w:sz w:val="20"/>
                <w:szCs w:val="20"/>
              </w:rPr>
              <w:t>370</w:t>
            </w:r>
            <w:r>
              <w:rPr>
                <w:sz w:val="20"/>
                <w:szCs w:val="20"/>
              </w:rPr>
              <w:t>.</w:t>
            </w:r>
            <w:r w:rsidR="00D01899">
              <w:rPr>
                <w:sz w:val="20"/>
                <w:szCs w:val="20"/>
              </w:rPr>
              <w:t>288,98</w:t>
            </w:r>
          </w:p>
        </w:tc>
      </w:tr>
      <w:tr w:rsidR="008305CC" w:rsidTr="00817500">
        <w:tc>
          <w:tcPr>
            <w:tcW w:w="5098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Ostali rashodi </w:t>
            </w:r>
          </w:p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2.775.568,16</w:t>
            </w:r>
          </w:p>
        </w:tc>
        <w:tc>
          <w:tcPr>
            <w:tcW w:w="2449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2.</w:t>
            </w:r>
            <w:r w:rsidR="00D01899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5.58</w:t>
            </w:r>
            <w:r w:rsidR="00D0189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D01899">
              <w:rPr>
                <w:sz w:val="20"/>
                <w:szCs w:val="20"/>
              </w:rPr>
              <w:t>04</w:t>
            </w:r>
          </w:p>
        </w:tc>
      </w:tr>
      <w:tr w:rsidR="008305CC" w:rsidTr="001D51DC">
        <w:tc>
          <w:tcPr>
            <w:tcW w:w="5098" w:type="dxa"/>
            <w:shd w:val="clear" w:color="auto" w:fill="D0CECE" w:themeFill="background2" w:themeFillShade="E6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 xml:space="preserve">Rashodi za nabavu nefinancijske imovine </w:t>
            </w:r>
          </w:p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8305CC" w:rsidRPr="00420AAB" w:rsidRDefault="008305CC" w:rsidP="008305C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420AAB">
              <w:rPr>
                <w:b/>
                <w:bCs/>
                <w:sz w:val="20"/>
                <w:szCs w:val="20"/>
              </w:rPr>
              <w:t>11.644.580,95</w:t>
            </w:r>
          </w:p>
        </w:tc>
        <w:tc>
          <w:tcPr>
            <w:tcW w:w="2449" w:type="dxa"/>
            <w:shd w:val="clear" w:color="auto" w:fill="D0CECE" w:themeFill="background2" w:themeFillShade="E6"/>
          </w:tcPr>
          <w:p w:rsidR="008305CC" w:rsidRPr="00420AAB" w:rsidRDefault="008305CC" w:rsidP="008305C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D01899">
              <w:rPr>
                <w:sz w:val="20"/>
                <w:szCs w:val="20"/>
              </w:rPr>
              <w:t xml:space="preserve">  </w:t>
            </w:r>
            <w:r w:rsidR="00D01899">
              <w:rPr>
                <w:b/>
                <w:bCs/>
                <w:sz w:val="20"/>
                <w:szCs w:val="20"/>
              </w:rPr>
              <w:t>3</w:t>
            </w:r>
            <w:r w:rsidRPr="00420AAB">
              <w:rPr>
                <w:b/>
                <w:bCs/>
                <w:sz w:val="20"/>
                <w:szCs w:val="20"/>
              </w:rPr>
              <w:t>.</w:t>
            </w:r>
            <w:r w:rsidR="00D01899">
              <w:rPr>
                <w:b/>
                <w:bCs/>
                <w:sz w:val="20"/>
                <w:szCs w:val="20"/>
              </w:rPr>
              <w:t>7</w:t>
            </w:r>
            <w:r w:rsidRPr="00420AAB">
              <w:rPr>
                <w:b/>
                <w:bCs/>
                <w:sz w:val="20"/>
                <w:szCs w:val="20"/>
              </w:rPr>
              <w:t>6</w:t>
            </w:r>
            <w:r w:rsidR="00D01899">
              <w:rPr>
                <w:b/>
                <w:bCs/>
                <w:sz w:val="20"/>
                <w:szCs w:val="20"/>
              </w:rPr>
              <w:t>2</w:t>
            </w:r>
            <w:r w:rsidRPr="00420AAB">
              <w:rPr>
                <w:b/>
                <w:bCs/>
                <w:sz w:val="20"/>
                <w:szCs w:val="20"/>
              </w:rPr>
              <w:t>.</w:t>
            </w:r>
            <w:r w:rsidR="00D01899">
              <w:rPr>
                <w:b/>
                <w:bCs/>
                <w:sz w:val="20"/>
                <w:szCs w:val="20"/>
              </w:rPr>
              <w:t>108,23</w:t>
            </w:r>
          </w:p>
        </w:tc>
      </w:tr>
      <w:tr w:rsidR="008305CC" w:rsidTr="00817500">
        <w:tc>
          <w:tcPr>
            <w:tcW w:w="5098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Rashodi za nabavu neproizvedene imovine </w:t>
            </w:r>
          </w:p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2.043.969,05</w:t>
            </w:r>
          </w:p>
        </w:tc>
        <w:tc>
          <w:tcPr>
            <w:tcW w:w="2449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D01899">
              <w:rPr>
                <w:sz w:val="20"/>
                <w:szCs w:val="20"/>
              </w:rPr>
              <w:t xml:space="preserve">     16.205,74</w:t>
            </w:r>
          </w:p>
        </w:tc>
      </w:tr>
      <w:tr w:rsidR="008305CC" w:rsidTr="00817500">
        <w:tc>
          <w:tcPr>
            <w:tcW w:w="5098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Rashodi za nabavu proizvedene dugotrajne imovine </w:t>
            </w:r>
          </w:p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9.600.611,90</w:t>
            </w:r>
          </w:p>
        </w:tc>
        <w:tc>
          <w:tcPr>
            <w:tcW w:w="2449" w:type="dxa"/>
          </w:tcPr>
          <w:p w:rsidR="008305CC" w:rsidRPr="000E1BCB" w:rsidRDefault="008305CC" w:rsidP="00830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D018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D01899">
              <w:rPr>
                <w:sz w:val="20"/>
                <w:szCs w:val="20"/>
              </w:rPr>
              <w:t>745</w:t>
            </w:r>
            <w:r>
              <w:rPr>
                <w:sz w:val="20"/>
                <w:szCs w:val="20"/>
              </w:rPr>
              <w:t>.</w:t>
            </w:r>
            <w:r w:rsidR="00D01899">
              <w:rPr>
                <w:sz w:val="20"/>
                <w:szCs w:val="20"/>
              </w:rPr>
              <w:t>902,49</w:t>
            </w:r>
          </w:p>
        </w:tc>
      </w:tr>
      <w:tr w:rsidR="001F61B9" w:rsidTr="001D51DC">
        <w:tc>
          <w:tcPr>
            <w:tcW w:w="5098" w:type="dxa"/>
            <w:shd w:val="clear" w:color="auto" w:fill="D0CECE" w:themeFill="background2" w:themeFillShade="E6"/>
          </w:tcPr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lastRenderedPageBreak/>
              <w:t xml:space="preserve">Izdaci za financijsku imovinu i otplate zajmova </w:t>
            </w:r>
          </w:p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1F61B9" w:rsidRPr="00420AAB" w:rsidRDefault="00420AAB" w:rsidP="001F61B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3607D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</w:t>
            </w:r>
            <w:r w:rsidRPr="00420A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49" w:type="dxa"/>
            <w:shd w:val="clear" w:color="auto" w:fill="D0CECE" w:themeFill="background2" w:themeFillShade="E6"/>
          </w:tcPr>
          <w:p w:rsidR="001F61B9" w:rsidRPr="00420AAB" w:rsidRDefault="00420AAB" w:rsidP="001F61B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420AA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61B9" w:rsidTr="00817500">
        <w:tc>
          <w:tcPr>
            <w:tcW w:w="5098" w:type="dxa"/>
          </w:tcPr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Izdaci za dane zajmove </w:t>
            </w:r>
          </w:p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F61B9" w:rsidRPr="000E1BCB" w:rsidRDefault="00E244A3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360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0,00</w:t>
            </w:r>
          </w:p>
        </w:tc>
        <w:tc>
          <w:tcPr>
            <w:tcW w:w="2449" w:type="dxa"/>
          </w:tcPr>
          <w:p w:rsidR="001F61B9" w:rsidRPr="000E1BCB" w:rsidRDefault="00E244A3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0,00</w:t>
            </w:r>
          </w:p>
        </w:tc>
      </w:tr>
      <w:tr w:rsidR="001F61B9" w:rsidTr="00817500">
        <w:tc>
          <w:tcPr>
            <w:tcW w:w="5098" w:type="dxa"/>
          </w:tcPr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Izdaci za dionice i udjele u glavnici </w:t>
            </w:r>
          </w:p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F61B9" w:rsidRPr="000E1BCB" w:rsidRDefault="00E244A3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60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0,00</w:t>
            </w:r>
          </w:p>
        </w:tc>
        <w:tc>
          <w:tcPr>
            <w:tcW w:w="2449" w:type="dxa"/>
          </w:tcPr>
          <w:p w:rsidR="001F61B9" w:rsidRPr="000E1BCB" w:rsidRDefault="00E244A3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0,00</w:t>
            </w:r>
          </w:p>
        </w:tc>
      </w:tr>
      <w:tr w:rsidR="001F61B9" w:rsidTr="001F61B9">
        <w:trPr>
          <w:trHeight w:val="496"/>
        </w:trPr>
        <w:tc>
          <w:tcPr>
            <w:tcW w:w="5098" w:type="dxa"/>
          </w:tcPr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Izdaci za otplatu glavnice primljenih kredita i zajmova </w:t>
            </w:r>
          </w:p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F61B9" w:rsidRPr="000E1BCB" w:rsidRDefault="00E244A3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360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0,00</w:t>
            </w:r>
          </w:p>
        </w:tc>
        <w:tc>
          <w:tcPr>
            <w:tcW w:w="2449" w:type="dxa"/>
          </w:tcPr>
          <w:p w:rsidR="001F61B9" w:rsidRPr="000E1BCB" w:rsidRDefault="00E244A3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0,00</w:t>
            </w:r>
          </w:p>
        </w:tc>
      </w:tr>
    </w:tbl>
    <w:p w:rsidR="0009016D" w:rsidRDefault="0009016D" w:rsidP="008973D1">
      <w:pPr>
        <w:pStyle w:val="Default"/>
        <w:rPr>
          <w:sz w:val="22"/>
          <w:szCs w:val="22"/>
        </w:rPr>
      </w:pPr>
    </w:p>
    <w:p w:rsidR="0009016D" w:rsidRDefault="0009016D" w:rsidP="008973D1">
      <w:pPr>
        <w:pStyle w:val="Default"/>
        <w:rPr>
          <w:sz w:val="22"/>
          <w:szCs w:val="22"/>
        </w:rPr>
      </w:pPr>
    </w:p>
    <w:p w:rsidR="0009016D" w:rsidRDefault="0009016D" w:rsidP="00551B4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Vrijednosno značajniji rashodi i izdaci odnose se na</w:t>
      </w:r>
      <w:r w:rsidR="00D854CF" w:rsidRPr="00D854CF">
        <w:rPr>
          <w:sz w:val="22"/>
          <w:szCs w:val="22"/>
        </w:rPr>
        <w:t xml:space="preserve"> </w:t>
      </w:r>
      <w:r w:rsidR="00D854CF">
        <w:rPr>
          <w:sz w:val="22"/>
          <w:szCs w:val="22"/>
        </w:rPr>
        <w:t xml:space="preserve">nabavu nefinancijske imovine </w:t>
      </w:r>
      <w:r w:rsidR="00EC3937">
        <w:rPr>
          <w:sz w:val="22"/>
          <w:szCs w:val="22"/>
        </w:rPr>
        <w:t>30</w:t>
      </w:r>
      <w:r w:rsidR="00D854CF">
        <w:rPr>
          <w:sz w:val="22"/>
          <w:szCs w:val="22"/>
        </w:rPr>
        <w:t>,</w:t>
      </w:r>
      <w:r w:rsidR="00EC3937">
        <w:rPr>
          <w:sz w:val="22"/>
          <w:szCs w:val="22"/>
        </w:rPr>
        <w:t>54</w:t>
      </w:r>
      <w:r w:rsidR="00D854CF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="00D854C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na materijalne rashode otpada </w:t>
      </w:r>
      <w:r w:rsidR="00EC3937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EC3937">
        <w:rPr>
          <w:sz w:val="22"/>
          <w:szCs w:val="22"/>
        </w:rPr>
        <w:t>8</w:t>
      </w:r>
      <w:r>
        <w:rPr>
          <w:sz w:val="22"/>
          <w:szCs w:val="22"/>
        </w:rPr>
        <w:t>5 %</w:t>
      </w:r>
      <w:r w:rsidR="00D854CF">
        <w:rPr>
          <w:sz w:val="22"/>
          <w:szCs w:val="22"/>
        </w:rPr>
        <w:t>,</w:t>
      </w:r>
      <w:r>
        <w:rPr>
          <w:sz w:val="22"/>
          <w:szCs w:val="22"/>
        </w:rPr>
        <w:t xml:space="preserve"> na ostale rashode </w:t>
      </w:r>
      <w:r w:rsidR="00D854CF">
        <w:rPr>
          <w:sz w:val="22"/>
          <w:szCs w:val="22"/>
        </w:rPr>
        <w:t>1</w:t>
      </w:r>
      <w:r w:rsidR="00EC3937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="00EC3937">
        <w:rPr>
          <w:sz w:val="22"/>
          <w:szCs w:val="22"/>
        </w:rPr>
        <w:t>93</w:t>
      </w:r>
      <w:r>
        <w:rPr>
          <w:sz w:val="22"/>
          <w:szCs w:val="22"/>
        </w:rPr>
        <w:t xml:space="preserve"> %</w:t>
      </w:r>
      <w:r w:rsidR="00773B52">
        <w:rPr>
          <w:sz w:val="22"/>
          <w:szCs w:val="22"/>
        </w:rPr>
        <w:t>,</w:t>
      </w:r>
      <w:r>
        <w:rPr>
          <w:sz w:val="22"/>
          <w:szCs w:val="22"/>
        </w:rPr>
        <w:t xml:space="preserve"> na rashode za zaposlene </w:t>
      </w:r>
      <w:r w:rsidR="00EC3937">
        <w:rPr>
          <w:sz w:val="22"/>
          <w:szCs w:val="22"/>
        </w:rPr>
        <w:t>7</w:t>
      </w:r>
      <w:r>
        <w:rPr>
          <w:sz w:val="22"/>
          <w:szCs w:val="22"/>
        </w:rPr>
        <w:t>,</w:t>
      </w:r>
      <w:r w:rsidR="00EC3937">
        <w:rPr>
          <w:sz w:val="22"/>
          <w:szCs w:val="22"/>
        </w:rPr>
        <w:t>55</w:t>
      </w:r>
      <w:r>
        <w:rPr>
          <w:sz w:val="22"/>
          <w:szCs w:val="22"/>
        </w:rPr>
        <w:t xml:space="preserve"> %</w:t>
      </w:r>
      <w:r w:rsidR="00773B52">
        <w:rPr>
          <w:sz w:val="22"/>
          <w:szCs w:val="22"/>
        </w:rPr>
        <w:t xml:space="preserve"> te na subvencije 4,43% </w:t>
      </w:r>
      <w:r>
        <w:rPr>
          <w:sz w:val="22"/>
          <w:szCs w:val="22"/>
        </w:rPr>
        <w:t xml:space="preserve"> ukupno ostvarenih rashoda i izdataka. Svi drugi rashodi i izdaci (financijski rashodi</w:t>
      </w:r>
      <w:r w:rsidR="008D3F64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naknade građanima i kućanstvima na temelju osiguranja i druge naknade) čine </w:t>
      </w:r>
      <w:r w:rsidR="00773B52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773B52">
        <w:rPr>
          <w:sz w:val="22"/>
          <w:szCs w:val="22"/>
        </w:rPr>
        <w:t>70</w:t>
      </w:r>
      <w:r>
        <w:rPr>
          <w:sz w:val="22"/>
          <w:szCs w:val="22"/>
        </w:rPr>
        <w:t xml:space="preserve"> % ukupnih rashoda i izdataka. </w:t>
      </w:r>
    </w:p>
    <w:p w:rsidR="0009016D" w:rsidRDefault="0009016D" w:rsidP="0009016D">
      <w:pPr>
        <w:pStyle w:val="Default"/>
        <w:rPr>
          <w:sz w:val="22"/>
          <w:szCs w:val="22"/>
        </w:rPr>
      </w:pPr>
    </w:p>
    <w:p w:rsidR="0009016D" w:rsidRDefault="0009016D" w:rsidP="0009016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Rashodi za zaposlene </w:t>
      </w:r>
      <w:r w:rsidR="005D2852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 w:rsidR="005D2852">
        <w:rPr>
          <w:sz w:val="22"/>
          <w:szCs w:val="22"/>
        </w:rPr>
        <w:t xml:space="preserve">Rashodi za zaposlene su ostvareni u iznosu od </w:t>
      </w:r>
      <w:r w:rsidR="003F6D9C">
        <w:rPr>
          <w:sz w:val="22"/>
          <w:szCs w:val="22"/>
        </w:rPr>
        <w:t>930</w:t>
      </w:r>
      <w:r w:rsidR="005D2852">
        <w:rPr>
          <w:sz w:val="22"/>
          <w:szCs w:val="22"/>
        </w:rPr>
        <w:t>.</w:t>
      </w:r>
      <w:r w:rsidR="003F6D9C">
        <w:rPr>
          <w:sz w:val="22"/>
          <w:szCs w:val="22"/>
        </w:rPr>
        <w:t>553,03</w:t>
      </w:r>
      <w:r w:rsidR="005D2852">
        <w:rPr>
          <w:sz w:val="22"/>
          <w:szCs w:val="22"/>
        </w:rPr>
        <w:t xml:space="preserve"> kn i </w:t>
      </w:r>
      <w:r w:rsidR="003F6D9C">
        <w:rPr>
          <w:sz w:val="22"/>
          <w:szCs w:val="22"/>
        </w:rPr>
        <w:t xml:space="preserve">veći su </w:t>
      </w:r>
      <w:r w:rsidR="005D2852">
        <w:rPr>
          <w:sz w:val="22"/>
          <w:szCs w:val="22"/>
        </w:rPr>
        <w:t xml:space="preserve">u odnosu na prethodnu godinu za </w:t>
      </w:r>
      <w:r w:rsidR="0088489C">
        <w:rPr>
          <w:sz w:val="22"/>
          <w:szCs w:val="22"/>
        </w:rPr>
        <w:t>68</w:t>
      </w:r>
      <w:r>
        <w:rPr>
          <w:sz w:val="22"/>
          <w:szCs w:val="22"/>
        </w:rPr>
        <w:t>.</w:t>
      </w:r>
      <w:r w:rsidR="005D2852">
        <w:rPr>
          <w:sz w:val="22"/>
          <w:szCs w:val="22"/>
        </w:rPr>
        <w:t>2</w:t>
      </w:r>
      <w:r w:rsidR="0088489C">
        <w:rPr>
          <w:sz w:val="22"/>
          <w:szCs w:val="22"/>
        </w:rPr>
        <w:t>68</w:t>
      </w:r>
      <w:r w:rsidR="005D2852">
        <w:rPr>
          <w:sz w:val="22"/>
          <w:szCs w:val="22"/>
        </w:rPr>
        <w:t>,4</w:t>
      </w:r>
      <w:r w:rsidR="0088489C">
        <w:rPr>
          <w:sz w:val="22"/>
          <w:szCs w:val="22"/>
        </w:rPr>
        <w:t>3</w:t>
      </w:r>
      <w:r w:rsidR="002A6FE9">
        <w:rPr>
          <w:sz w:val="22"/>
          <w:szCs w:val="22"/>
        </w:rPr>
        <w:t xml:space="preserve"> kn</w:t>
      </w:r>
      <w:r w:rsidR="005D285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D2852">
        <w:rPr>
          <w:sz w:val="22"/>
          <w:szCs w:val="22"/>
        </w:rPr>
        <w:t xml:space="preserve">Rashodi su </w:t>
      </w:r>
      <w:r w:rsidR="0088489C">
        <w:rPr>
          <w:sz w:val="22"/>
          <w:szCs w:val="22"/>
        </w:rPr>
        <w:t>povećani</w:t>
      </w:r>
      <w:r w:rsidR="005D2852">
        <w:rPr>
          <w:sz w:val="22"/>
          <w:szCs w:val="22"/>
        </w:rPr>
        <w:t xml:space="preserve"> u odnosu na prethodnu godinu iz razloga što je </w:t>
      </w:r>
      <w:r w:rsidR="005D2852" w:rsidRPr="005D2852">
        <w:rPr>
          <w:sz w:val="22"/>
          <w:szCs w:val="22"/>
        </w:rPr>
        <w:t>stalni komunalni redar zaposlen u 5.mjesecu 2019.godine</w:t>
      </w:r>
      <w:r w:rsidR="0088489C">
        <w:rPr>
          <w:sz w:val="22"/>
          <w:szCs w:val="22"/>
        </w:rPr>
        <w:t>, a u 2020.godini mu je obračunata i isplaćena plaća za cijelu godinu.</w:t>
      </w:r>
    </w:p>
    <w:p w:rsidR="005D2852" w:rsidRDefault="005D2852" w:rsidP="0009016D">
      <w:pPr>
        <w:pStyle w:val="Default"/>
        <w:rPr>
          <w:sz w:val="22"/>
          <w:szCs w:val="22"/>
        </w:rPr>
      </w:pPr>
    </w:p>
    <w:p w:rsidR="0009016D" w:rsidRDefault="0009016D" w:rsidP="0009016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Materijalni rashodi - </w:t>
      </w:r>
      <w:r>
        <w:rPr>
          <w:sz w:val="22"/>
          <w:szCs w:val="22"/>
        </w:rPr>
        <w:t xml:space="preserve">ostvareni su </w:t>
      </w:r>
      <w:r w:rsidR="00560231">
        <w:rPr>
          <w:sz w:val="22"/>
          <w:szCs w:val="22"/>
        </w:rPr>
        <w:t xml:space="preserve">u iznosu od </w:t>
      </w:r>
      <w:r w:rsidR="0088489C">
        <w:rPr>
          <w:sz w:val="22"/>
          <w:szCs w:val="22"/>
        </w:rPr>
        <w:t>4</w:t>
      </w:r>
      <w:r w:rsidR="00560231">
        <w:rPr>
          <w:sz w:val="22"/>
          <w:szCs w:val="22"/>
        </w:rPr>
        <w:t>.</w:t>
      </w:r>
      <w:r w:rsidR="0088489C">
        <w:rPr>
          <w:sz w:val="22"/>
          <w:szCs w:val="22"/>
        </w:rPr>
        <w:t>539</w:t>
      </w:r>
      <w:r w:rsidR="00560231">
        <w:rPr>
          <w:sz w:val="22"/>
          <w:szCs w:val="22"/>
        </w:rPr>
        <w:t>.</w:t>
      </w:r>
      <w:r w:rsidR="0088489C">
        <w:rPr>
          <w:sz w:val="22"/>
          <w:szCs w:val="22"/>
        </w:rPr>
        <w:t>828,16</w:t>
      </w:r>
      <w:r w:rsidR="00560231">
        <w:rPr>
          <w:sz w:val="22"/>
          <w:szCs w:val="22"/>
        </w:rPr>
        <w:t xml:space="preserve"> kn i </w:t>
      </w:r>
      <w:r w:rsidR="0088489C">
        <w:rPr>
          <w:sz w:val="22"/>
          <w:szCs w:val="22"/>
        </w:rPr>
        <w:t xml:space="preserve">manji </w:t>
      </w:r>
      <w:r w:rsidR="00560231">
        <w:rPr>
          <w:sz w:val="22"/>
          <w:szCs w:val="22"/>
        </w:rPr>
        <w:t xml:space="preserve">su u odnosu na prethodnu godinu za </w:t>
      </w:r>
      <w:r w:rsidR="0088489C">
        <w:rPr>
          <w:sz w:val="22"/>
          <w:szCs w:val="22"/>
        </w:rPr>
        <w:t>805</w:t>
      </w:r>
      <w:r w:rsidR="00560231">
        <w:rPr>
          <w:sz w:val="22"/>
          <w:szCs w:val="22"/>
        </w:rPr>
        <w:t>.</w:t>
      </w:r>
      <w:r w:rsidR="0088489C">
        <w:rPr>
          <w:sz w:val="22"/>
          <w:szCs w:val="22"/>
        </w:rPr>
        <w:t>806</w:t>
      </w:r>
      <w:r w:rsidR="00560231">
        <w:rPr>
          <w:sz w:val="22"/>
          <w:szCs w:val="22"/>
        </w:rPr>
        <w:t>,</w:t>
      </w:r>
      <w:r w:rsidR="0088489C">
        <w:rPr>
          <w:sz w:val="22"/>
          <w:szCs w:val="22"/>
        </w:rPr>
        <w:t>78</w:t>
      </w:r>
      <w:r w:rsidR="00560231">
        <w:rPr>
          <w:sz w:val="22"/>
          <w:szCs w:val="22"/>
        </w:rPr>
        <w:t xml:space="preserve"> kn. </w:t>
      </w:r>
      <w:r w:rsidR="00F42228">
        <w:rPr>
          <w:sz w:val="22"/>
          <w:szCs w:val="22"/>
        </w:rPr>
        <w:t>Sastoje se od naknada troškova zaposlenima u iznosu od 1</w:t>
      </w:r>
      <w:r w:rsidR="0088489C">
        <w:rPr>
          <w:sz w:val="22"/>
          <w:szCs w:val="22"/>
        </w:rPr>
        <w:t>6</w:t>
      </w:r>
      <w:r w:rsidR="00F42228">
        <w:rPr>
          <w:sz w:val="22"/>
          <w:szCs w:val="22"/>
        </w:rPr>
        <w:t>.</w:t>
      </w:r>
      <w:r w:rsidR="0088489C">
        <w:rPr>
          <w:sz w:val="22"/>
          <w:szCs w:val="22"/>
        </w:rPr>
        <w:t>673</w:t>
      </w:r>
      <w:r w:rsidR="00F42228">
        <w:rPr>
          <w:sz w:val="22"/>
          <w:szCs w:val="22"/>
        </w:rPr>
        <w:t>,</w:t>
      </w:r>
      <w:r w:rsidR="0088489C">
        <w:rPr>
          <w:sz w:val="22"/>
          <w:szCs w:val="22"/>
        </w:rPr>
        <w:t>33</w:t>
      </w:r>
      <w:r w:rsidR="00F42228">
        <w:rPr>
          <w:sz w:val="22"/>
          <w:szCs w:val="22"/>
        </w:rPr>
        <w:t xml:space="preserve"> kn, rashoda za materijal i energiju u iznosu od 2</w:t>
      </w:r>
      <w:r w:rsidR="0088489C">
        <w:rPr>
          <w:sz w:val="22"/>
          <w:szCs w:val="22"/>
        </w:rPr>
        <w:t>81</w:t>
      </w:r>
      <w:r w:rsidR="00F42228">
        <w:rPr>
          <w:sz w:val="22"/>
          <w:szCs w:val="22"/>
        </w:rPr>
        <w:t>.</w:t>
      </w:r>
      <w:r w:rsidR="0088489C">
        <w:rPr>
          <w:sz w:val="22"/>
          <w:szCs w:val="22"/>
        </w:rPr>
        <w:t>067</w:t>
      </w:r>
      <w:r w:rsidR="00F42228">
        <w:rPr>
          <w:sz w:val="22"/>
          <w:szCs w:val="22"/>
        </w:rPr>
        <w:t>,</w:t>
      </w:r>
      <w:r w:rsidR="0088489C">
        <w:rPr>
          <w:sz w:val="22"/>
          <w:szCs w:val="22"/>
        </w:rPr>
        <w:t>72</w:t>
      </w:r>
      <w:r w:rsidR="00F42228">
        <w:rPr>
          <w:sz w:val="22"/>
          <w:szCs w:val="22"/>
        </w:rPr>
        <w:t xml:space="preserve"> kn, rashoda za usluge u iznosu od 3.</w:t>
      </w:r>
      <w:r w:rsidR="0088489C">
        <w:rPr>
          <w:sz w:val="22"/>
          <w:szCs w:val="22"/>
        </w:rPr>
        <w:t>535</w:t>
      </w:r>
      <w:r w:rsidR="00F42228">
        <w:rPr>
          <w:sz w:val="22"/>
          <w:szCs w:val="22"/>
        </w:rPr>
        <w:t>.</w:t>
      </w:r>
      <w:r w:rsidR="0088489C">
        <w:rPr>
          <w:sz w:val="22"/>
          <w:szCs w:val="22"/>
        </w:rPr>
        <w:t>573</w:t>
      </w:r>
      <w:r w:rsidR="00F42228">
        <w:rPr>
          <w:sz w:val="22"/>
          <w:szCs w:val="22"/>
        </w:rPr>
        <w:t>,</w:t>
      </w:r>
      <w:r w:rsidR="0088489C">
        <w:rPr>
          <w:sz w:val="22"/>
          <w:szCs w:val="22"/>
        </w:rPr>
        <w:t>54</w:t>
      </w:r>
      <w:r w:rsidR="00F42228">
        <w:rPr>
          <w:sz w:val="22"/>
          <w:szCs w:val="22"/>
        </w:rPr>
        <w:t xml:space="preserve"> kn i ostalih nespomenutih rashoda poslovanja u iznosu od </w:t>
      </w:r>
      <w:r w:rsidR="0088489C">
        <w:rPr>
          <w:sz w:val="22"/>
          <w:szCs w:val="22"/>
        </w:rPr>
        <w:t>706</w:t>
      </w:r>
      <w:r w:rsidR="00F42228">
        <w:rPr>
          <w:sz w:val="22"/>
          <w:szCs w:val="22"/>
        </w:rPr>
        <w:t>.</w:t>
      </w:r>
      <w:r w:rsidR="0088489C">
        <w:rPr>
          <w:sz w:val="22"/>
          <w:szCs w:val="22"/>
        </w:rPr>
        <w:t>513,57</w:t>
      </w:r>
      <w:r w:rsidR="00F42228">
        <w:rPr>
          <w:sz w:val="22"/>
          <w:szCs w:val="22"/>
        </w:rPr>
        <w:t xml:space="preserve"> kn. Ovo </w:t>
      </w:r>
      <w:r w:rsidR="0088489C">
        <w:rPr>
          <w:sz w:val="22"/>
          <w:szCs w:val="22"/>
        </w:rPr>
        <w:t xml:space="preserve">smanjenje </w:t>
      </w:r>
      <w:r w:rsidR="00F42228">
        <w:rPr>
          <w:sz w:val="22"/>
          <w:szCs w:val="22"/>
        </w:rPr>
        <w:t xml:space="preserve">je u najvećem dijelu posljedica </w:t>
      </w:r>
      <w:r w:rsidR="0088489C">
        <w:rPr>
          <w:sz w:val="22"/>
          <w:szCs w:val="22"/>
        </w:rPr>
        <w:t xml:space="preserve">smanjenja </w:t>
      </w:r>
      <w:r w:rsidR="00F42228">
        <w:rPr>
          <w:sz w:val="22"/>
          <w:szCs w:val="22"/>
        </w:rPr>
        <w:t xml:space="preserve">ostalih usluga tekućeg održavanja koje su ostvarene u iznosu od </w:t>
      </w:r>
      <w:r w:rsidR="00E41E9D">
        <w:rPr>
          <w:sz w:val="22"/>
          <w:szCs w:val="22"/>
        </w:rPr>
        <w:t>2</w:t>
      </w:r>
      <w:r w:rsidR="00F42228">
        <w:rPr>
          <w:sz w:val="22"/>
          <w:szCs w:val="22"/>
        </w:rPr>
        <w:t>.</w:t>
      </w:r>
      <w:r w:rsidR="00E41E9D">
        <w:rPr>
          <w:sz w:val="22"/>
          <w:szCs w:val="22"/>
        </w:rPr>
        <w:t>041</w:t>
      </w:r>
      <w:r w:rsidR="00F42228">
        <w:rPr>
          <w:sz w:val="22"/>
          <w:szCs w:val="22"/>
        </w:rPr>
        <w:t>.</w:t>
      </w:r>
      <w:r w:rsidR="00E41E9D">
        <w:rPr>
          <w:sz w:val="22"/>
          <w:szCs w:val="22"/>
        </w:rPr>
        <w:t>268</w:t>
      </w:r>
      <w:r w:rsidR="00F42228">
        <w:rPr>
          <w:sz w:val="22"/>
          <w:szCs w:val="22"/>
        </w:rPr>
        <w:t>,</w:t>
      </w:r>
      <w:r w:rsidR="00E41E9D">
        <w:rPr>
          <w:sz w:val="22"/>
          <w:szCs w:val="22"/>
        </w:rPr>
        <w:t>53</w:t>
      </w:r>
      <w:r w:rsidR="00F42228">
        <w:rPr>
          <w:sz w:val="22"/>
          <w:szCs w:val="22"/>
        </w:rPr>
        <w:t xml:space="preserve"> kn i za </w:t>
      </w:r>
      <w:r w:rsidR="00E41E9D">
        <w:rPr>
          <w:sz w:val="22"/>
          <w:szCs w:val="22"/>
        </w:rPr>
        <w:t>479</w:t>
      </w:r>
      <w:r w:rsidR="001F0BC9">
        <w:rPr>
          <w:sz w:val="22"/>
          <w:szCs w:val="22"/>
        </w:rPr>
        <w:t>.</w:t>
      </w:r>
      <w:r w:rsidR="00E41E9D">
        <w:rPr>
          <w:sz w:val="22"/>
          <w:szCs w:val="22"/>
        </w:rPr>
        <w:t>901,30</w:t>
      </w:r>
      <w:r w:rsidR="001F0BC9">
        <w:rPr>
          <w:sz w:val="22"/>
          <w:szCs w:val="22"/>
        </w:rPr>
        <w:t xml:space="preserve"> </w:t>
      </w:r>
      <w:r w:rsidR="00F42228">
        <w:rPr>
          <w:sz w:val="22"/>
          <w:szCs w:val="22"/>
        </w:rPr>
        <w:t xml:space="preserve">kn su </w:t>
      </w:r>
      <w:r w:rsidR="00E41E9D">
        <w:rPr>
          <w:sz w:val="22"/>
          <w:szCs w:val="22"/>
        </w:rPr>
        <w:t>manje</w:t>
      </w:r>
      <w:r w:rsidR="00F42228">
        <w:rPr>
          <w:sz w:val="22"/>
          <w:szCs w:val="22"/>
        </w:rPr>
        <w:t xml:space="preserve"> u odnosu na </w:t>
      </w:r>
      <w:r w:rsidR="00794AAC">
        <w:rPr>
          <w:sz w:val="22"/>
          <w:szCs w:val="22"/>
        </w:rPr>
        <w:t xml:space="preserve">prethodnu </w:t>
      </w:r>
      <w:r w:rsidR="00F42228">
        <w:rPr>
          <w:sz w:val="22"/>
          <w:szCs w:val="22"/>
        </w:rPr>
        <w:t>godinu</w:t>
      </w:r>
      <w:r w:rsidR="001F0BC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41E9D" w:rsidRDefault="00E41E9D" w:rsidP="0009016D">
      <w:pPr>
        <w:pStyle w:val="Default"/>
        <w:rPr>
          <w:sz w:val="22"/>
          <w:szCs w:val="22"/>
        </w:rPr>
      </w:pPr>
    </w:p>
    <w:p w:rsidR="0009016D" w:rsidRDefault="0009016D" w:rsidP="008602C7">
      <w:pPr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Financijski rashodi - </w:t>
      </w:r>
      <w:r>
        <w:rPr>
          <w:sz w:val="22"/>
          <w:szCs w:val="22"/>
        </w:rPr>
        <w:t xml:space="preserve">financijski rashodi se odnose na </w:t>
      </w:r>
      <w:r w:rsidR="00F84EFA">
        <w:rPr>
          <w:sz w:val="22"/>
          <w:szCs w:val="22"/>
        </w:rPr>
        <w:t xml:space="preserve">kamate za primljene kredite i zajmove, </w:t>
      </w:r>
      <w:r>
        <w:rPr>
          <w:sz w:val="22"/>
          <w:szCs w:val="22"/>
        </w:rPr>
        <w:t>bankarske usluge i usluge platnog prometa</w:t>
      </w:r>
      <w:r w:rsidR="003F1104">
        <w:rPr>
          <w:sz w:val="22"/>
          <w:szCs w:val="22"/>
        </w:rPr>
        <w:t>, zatezne kamate i ostale nespomenute financijske rashode.</w:t>
      </w:r>
      <w:r>
        <w:rPr>
          <w:sz w:val="22"/>
          <w:szCs w:val="22"/>
        </w:rPr>
        <w:t xml:space="preserve"> </w:t>
      </w:r>
      <w:r w:rsidR="003F1104">
        <w:rPr>
          <w:sz w:val="22"/>
          <w:szCs w:val="22"/>
        </w:rPr>
        <w:t>U 20</w:t>
      </w:r>
      <w:r w:rsidR="00F84EFA">
        <w:rPr>
          <w:sz w:val="22"/>
          <w:szCs w:val="22"/>
        </w:rPr>
        <w:t>20</w:t>
      </w:r>
      <w:r w:rsidR="003F1104">
        <w:rPr>
          <w:sz w:val="22"/>
          <w:szCs w:val="22"/>
        </w:rPr>
        <w:t xml:space="preserve">.godini su ostvareni u iznosu od </w:t>
      </w:r>
      <w:r w:rsidR="00F84EFA">
        <w:rPr>
          <w:sz w:val="22"/>
          <w:szCs w:val="22"/>
        </w:rPr>
        <w:t>85</w:t>
      </w:r>
      <w:r w:rsidR="003F1104">
        <w:rPr>
          <w:sz w:val="22"/>
          <w:szCs w:val="22"/>
        </w:rPr>
        <w:t>.</w:t>
      </w:r>
      <w:r w:rsidR="00F84EFA">
        <w:rPr>
          <w:sz w:val="22"/>
          <w:szCs w:val="22"/>
        </w:rPr>
        <w:t>385,27</w:t>
      </w:r>
      <w:r w:rsidR="003F1104">
        <w:rPr>
          <w:sz w:val="22"/>
          <w:szCs w:val="22"/>
        </w:rPr>
        <w:t xml:space="preserve"> kn i veći su u odnosu na prethodnu godinu za </w:t>
      </w:r>
      <w:r w:rsidR="00F84EFA">
        <w:rPr>
          <w:sz w:val="22"/>
          <w:szCs w:val="22"/>
        </w:rPr>
        <w:t>8</w:t>
      </w:r>
      <w:r w:rsidR="003F1104">
        <w:rPr>
          <w:sz w:val="22"/>
          <w:szCs w:val="22"/>
        </w:rPr>
        <w:t>.61</w:t>
      </w:r>
      <w:r w:rsidR="00F84EFA">
        <w:rPr>
          <w:sz w:val="22"/>
          <w:szCs w:val="22"/>
        </w:rPr>
        <w:t>5</w:t>
      </w:r>
      <w:r w:rsidR="003F1104">
        <w:rPr>
          <w:sz w:val="22"/>
          <w:szCs w:val="22"/>
        </w:rPr>
        <w:t>,</w:t>
      </w:r>
      <w:r w:rsidR="00F84EFA">
        <w:rPr>
          <w:sz w:val="22"/>
          <w:szCs w:val="22"/>
        </w:rPr>
        <w:t>11</w:t>
      </w:r>
      <w:r w:rsidR="003F1104">
        <w:rPr>
          <w:sz w:val="22"/>
          <w:szCs w:val="22"/>
        </w:rPr>
        <w:t xml:space="preserve"> kn. Do povećanja je došlo jer </w:t>
      </w:r>
      <w:r w:rsidR="008602C7">
        <w:rPr>
          <w:sz w:val="22"/>
          <w:szCs w:val="22"/>
        </w:rPr>
        <w:t xml:space="preserve">su </w:t>
      </w:r>
      <w:r w:rsidR="003F1104">
        <w:rPr>
          <w:sz w:val="22"/>
          <w:szCs w:val="22"/>
        </w:rPr>
        <w:t>se povećali</w:t>
      </w:r>
      <w:r w:rsidR="00F84EFA">
        <w:rPr>
          <w:sz w:val="22"/>
          <w:szCs w:val="22"/>
        </w:rPr>
        <w:t xml:space="preserve"> troškovi kamata za primljene kredite od tuzemnih kreditnih institucija kao i troškovi bankarskih naknada. Istovremeno je došlo do smanjenja </w:t>
      </w:r>
      <w:r w:rsidR="003F1104">
        <w:rPr>
          <w:sz w:val="22"/>
          <w:szCs w:val="22"/>
        </w:rPr>
        <w:t xml:space="preserve"> ostali</w:t>
      </w:r>
      <w:r w:rsidR="00F84EFA">
        <w:rPr>
          <w:sz w:val="22"/>
          <w:szCs w:val="22"/>
        </w:rPr>
        <w:t>h</w:t>
      </w:r>
      <w:r w:rsidR="003F1104">
        <w:rPr>
          <w:sz w:val="22"/>
          <w:szCs w:val="22"/>
        </w:rPr>
        <w:t xml:space="preserve"> nespomenuti financijski</w:t>
      </w:r>
      <w:r w:rsidR="00F84EFA">
        <w:rPr>
          <w:sz w:val="22"/>
          <w:szCs w:val="22"/>
        </w:rPr>
        <w:t>h</w:t>
      </w:r>
      <w:r w:rsidR="003F1104">
        <w:rPr>
          <w:sz w:val="22"/>
          <w:szCs w:val="22"/>
        </w:rPr>
        <w:t xml:space="preserve"> rashod</w:t>
      </w:r>
      <w:r w:rsidR="00F84EFA">
        <w:rPr>
          <w:sz w:val="22"/>
          <w:szCs w:val="22"/>
        </w:rPr>
        <w:t>a</w:t>
      </w:r>
      <w:r w:rsidR="008602C7">
        <w:rPr>
          <w:sz w:val="22"/>
          <w:szCs w:val="22"/>
        </w:rPr>
        <w:t xml:space="preserve"> zbog </w:t>
      </w:r>
      <w:r w:rsidR="00F84EFA">
        <w:rPr>
          <w:sz w:val="22"/>
          <w:szCs w:val="22"/>
        </w:rPr>
        <w:t xml:space="preserve">smanjenja </w:t>
      </w:r>
      <w:r w:rsidR="008602C7">
        <w:rPr>
          <w:sz w:val="22"/>
          <w:szCs w:val="22"/>
        </w:rPr>
        <w:t>naplate poreza</w:t>
      </w:r>
      <w:r w:rsidR="00F84EFA">
        <w:rPr>
          <w:sz w:val="22"/>
          <w:szCs w:val="22"/>
        </w:rPr>
        <w:t xml:space="preserve"> kao posljedice smanjenog obima poslovanja hotelskih i ugostiteljskih objekata zbog situacije uzokovane pojavom zarazne bolesti COVID - 19</w:t>
      </w:r>
      <w:r w:rsidR="003F1104">
        <w:rPr>
          <w:sz w:val="22"/>
          <w:szCs w:val="22"/>
        </w:rPr>
        <w:t xml:space="preserve"> ( </w:t>
      </w:r>
      <w:r w:rsidR="008602C7" w:rsidRPr="008602C7">
        <w:rPr>
          <w:color w:val="000000"/>
          <w:sz w:val="22"/>
          <w:szCs w:val="22"/>
          <w:lang w:val="hr-HR" w:eastAsia="hr-HR"/>
        </w:rPr>
        <w:t xml:space="preserve">Ostali nespomenuti financijski rashodi obuhvaćaju naknade Poreznoj upravi za poslove naplate poreza na potrošnju ( 5% od naplaćenog iznosa po Ugovoru ) i poreza na dohodak (temeljem </w:t>
      </w:r>
      <w:r w:rsidR="008602C7" w:rsidRPr="008602C7">
        <w:rPr>
          <w:sz w:val="22"/>
          <w:szCs w:val="22"/>
        </w:rPr>
        <w:t>novog Zakona o financiranju jedinica lokalne i područne samouprave NN 127/17 koji se primjenjuje od 01.01.2018.godine i  u kojem je određeno da porezna uprava naplaćuje 1% naknade od ukupno naplaćenih prihoda</w:t>
      </w:r>
      <w:r w:rsidR="008602C7" w:rsidRPr="008602C7">
        <w:rPr>
          <w:color w:val="000000"/>
          <w:sz w:val="22"/>
          <w:szCs w:val="22"/>
          <w:lang w:val="hr-HR" w:eastAsia="hr-HR"/>
        </w:rPr>
        <w:t>)</w:t>
      </w:r>
      <w:r w:rsidR="008602C7">
        <w:rPr>
          <w:color w:val="000000"/>
          <w:sz w:val="22"/>
          <w:szCs w:val="22"/>
          <w:lang w:val="hr-HR" w:eastAsia="hr-HR"/>
        </w:rPr>
        <w:t>.</w:t>
      </w:r>
      <w:r>
        <w:rPr>
          <w:sz w:val="22"/>
          <w:szCs w:val="22"/>
        </w:rPr>
        <w:t xml:space="preserve"> </w:t>
      </w:r>
    </w:p>
    <w:p w:rsidR="0009016D" w:rsidRDefault="0009016D" w:rsidP="0009016D">
      <w:pPr>
        <w:pStyle w:val="Default"/>
        <w:rPr>
          <w:sz w:val="22"/>
          <w:szCs w:val="22"/>
        </w:rPr>
      </w:pPr>
    </w:p>
    <w:p w:rsidR="0009016D" w:rsidRDefault="00252902" w:rsidP="0009016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Subvencije </w:t>
      </w:r>
      <w:r w:rsidR="00840BE6">
        <w:rPr>
          <w:i/>
          <w:iCs/>
          <w:sz w:val="22"/>
          <w:szCs w:val="22"/>
        </w:rPr>
        <w:t>–</w:t>
      </w:r>
      <w:r w:rsidR="0009016D">
        <w:rPr>
          <w:i/>
          <w:iCs/>
          <w:sz w:val="22"/>
          <w:szCs w:val="22"/>
        </w:rPr>
        <w:t xml:space="preserve"> </w:t>
      </w:r>
      <w:r w:rsidR="00840BE6">
        <w:rPr>
          <w:sz w:val="22"/>
          <w:szCs w:val="22"/>
        </w:rPr>
        <w:t>U 20</w:t>
      </w:r>
      <w:r w:rsidR="0057508D">
        <w:rPr>
          <w:sz w:val="22"/>
          <w:szCs w:val="22"/>
        </w:rPr>
        <w:t>20</w:t>
      </w:r>
      <w:r w:rsidR="00840BE6">
        <w:rPr>
          <w:sz w:val="22"/>
          <w:szCs w:val="22"/>
        </w:rPr>
        <w:t xml:space="preserve">.godini </w:t>
      </w:r>
      <w:r>
        <w:rPr>
          <w:sz w:val="22"/>
          <w:szCs w:val="22"/>
        </w:rPr>
        <w:t xml:space="preserve">isplaćeno je 545.906,85 kn </w:t>
      </w:r>
      <w:r w:rsidR="00840BE6">
        <w:rPr>
          <w:sz w:val="22"/>
          <w:szCs w:val="22"/>
        </w:rPr>
        <w:t>pomoći</w:t>
      </w:r>
      <w:r>
        <w:rPr>
          <w:sz w:val="22"/>
          <w:szCs w:val="22"/>
        </w:rPr>
        <w:t xml:space="preserve"> obrtnicima na temelju odluke Općinskog vijeća </w:t>
      </w:r>
      <w:r w:rsidR="00840BE6">
        <w:rPr>
          <w:sz w:val="22"/>
          <w:szCs w:val="22"/>
        </w:rPr>
        <w:t xml:space="preserve"> </w:t>
      </w:r>
      <w:r>
        <w:rPr>
          <w:sz w:val="22"/>
          <w:szCs w:val="22"/>
        </w:rPr>
        <w:t>o dodjeli potpora male vrijednosti poduzetnicima korisnicima javnih površina na području Općine Tučepi zbog epidemije bolesti COVID - 19</w:t>
      </w:r>
      <w:r w:rsidR="00840BE6">
        <w:rPr>
          <w:sz w:val="22"/>
          <w:szCs w:val="22"/>
        </w:rPr>
        <w:t xml:space="preserve">. </w:t>
      </w:r>
      <w:r w:rsidR="0009016D">
        <w:rPr>
          <w:sz w:val="22"/>
          <w:szCs w:val="22"/>
        </w:rPr>
        <w:t xml:space="preserve"> </w:t>
      </w:r>
    </w:p>
    <w:p w:rsidR="00840BE6" w:rsidRDefault="00840BE6" w:rsidP="0009016D">
      <w:pPr>
        <w:pStyle w:val="Default"/>
        <w:rPr>
          <w:sz w:val="22"/>
          <w:szCs w:val="22"/>
        </w:rPr>
      </w:pPr>
    </w:p>
    <w:p w:rsidR="0009016D" w:rsidRPr="008602C7" w:rsidRDefault="0009016D" w:rsidP="0009016D">
      <w:pPr>
        <w:pStyle w:val="Default"/>
        <w:rPr>
          <w:sz w:val="22"/>
          <w:szCs w:val="22"/>
        </w:rPr>
      </w:pPr>
      <w:r w:rsidRPr="008602C7">
        <w:rPr>
          <w:i/>
          <w:iCs/>
          <w:sz w:val="22"/>
          <w:szCs w:val="22"/>
        </w:rPr>
        <w:t xml:space="preserve">Naknade građanima i kućanstvima - </w:t>
      </w:r>
      <w:r w:rsidRPr="008602C7">
        <w:rPr>
          <w:sz w:val="22"/>
          <w:szCs w:val="22"/>
        </w:rPr>
        <w:t xml:space="preserve">ostvarene su u iznosu od </w:t>
      </w:r>
      <w:r w:rsidR="00FF3616">
        <w:rPr>
          <w:sz w:val="22"/>
          <w:szCs w:val="22"/>
        </w:rPr>
        <w:t>370</w:t>
      </w:r>
      <w:r w:rsidR="00CD410E" w:rsidRPr="008602C7">
        <w:rPr>
          <w:sz w:val="22"/>
          <w:szCs w:val="22"/>
        </w:rPr>
        <w:t>.</w:t>
      </w:r>
      <w:r w:rsidR="00FF3616">
        <w:rPr>
          <w:sz w:val="22"/>
          <w:szCs w:val="22"/>
        </w:rPr>
        <w:t>288,98</w:t>
      </w:r>
      <w:r w:rsidR="00CD410E" w:rsidRPr="008602C7">
        <w:rPr>
          <w:sz w:val="22"/>
          <w:szCs w:val="22"/>
        </w:rPr>
        <w:t xml:space="preserve"> </w:t>
      </w:r>
      <w:r w:rsidRPr="008602C7">
        <w:rPr>
          <w:sz w:val="22"/>
          <w:szCs w:val="22"/>
        </w:rPr>
        <w:t xml:space="preserve">kn, a odnose se prvenstveno na sve naknade u sklopu socijalnog programa, </w:t>
      </w:r>
      <w:r w:rsidR="00FF3616">
        <w:rPr>
          <w:sz w:val="22"/>
          <w:szCs w:val="22"/>
        </w:rPr>
        <w:t xml:space="preserve">i manje su u odnosu na prethodnu godinu </w:t>
      </w:r>
      <w:r w:rsidRPr="008602C7">
        <w:rPr>
          <w:sz w:val="22"/>
          <w:szCs w:val="22"/>
        </w:rPr>
        <w:t xml:space="preserve">za </w:t>
      </w:r>
      <w:r w:rsidR="00FF3616">
        <w:rPr>
          <w:sz w:val="22"/>
          <w:szCs w:val="22"/>
        </w:rPr>
        <w:t>9</w:t>
      </w:r>
      <w:r w:rsidR="00CD410E" w:rsidRPr="008602C7">
        <w:rPr>
          <w:sz w:val="22"/>
          <w:szCs w:val="22"/>
        </w:rPr>
        <w:t>7</w:t>
      </w:r>
      <w:r w:rsidRPr="008602C7">
        <w:rPr>
          <w:sz w:val="22"/>
          <w:szCs w:val="22"/>
        </w:rPr>
        <w:t>.</w:t>
      </w:r>
      <w:r w:rsidR="00FF3616">
        <w:rPr>
          <w:sz w:val="22"/>
          <w:szCs w:val="22"/>
        </w:rPr>
        <w:t>897,33</w:t>
      </w:r>
      <w:r w:rsidRPr="008602C7">
        <w:rPr>
          <w:sz w:val="22"/>
          <w:szCs w:val="22"/>
        </w:rPr>
        <w:t xml:space="preserve"> kn.</w:t>
      </w:r>
      <w:r w:rsidR="00B2611B" w:rsidRPr="008602C7">
        <w:rPr>
          <w:sz w:val="22"/>
          <w:szCs w:val="22"/>
        </w:rPr>
        <w:t xml:space="preserve"> U 20</w:t>
      </w:r>
      <w:r w:rsidR="00FF3616">
        <w:rPr>
          <w:sz w:val="22"/>
          <w:szCs w:val="22"/>
        </w:rPr>
        <w:t>20</w:t>
      </w:r>
      <w:r w:rsidR="00B2611B" w:rsidRPr="008602C7">
        <w:rPr>
          <w:sz w:val="22"/>
          <w:szCs w:val="22"/>
        </w:rPr>
        <w:t xml:space="preserve">.godini od ukupnog iznosa naknada </w:t>
      </w:r>
      <w:r w:rsidR="00FF3616">
        <w:rPr>
          <w:sz w:val="22"/>
          <w:szCs w:val="22"/>
        </w:rPr>
        <w:t>55</w:t>
      </w:r>
      <w:r w:rsidR="00B2611B" w:rsidRPr="008602C7">
        <w:rPr>
          <w:sz w:val="22"/>
          <w:szCs w:val="22"/>
        </w:rPr>
        <w:t>.</w:t>
      </w:r>
      <w:r w:rsidR="00FF3616">
        <w:rPr>
          <w:sz w:val="22"/>
          <w:szCs w:val="22"/>
        </w:rPr>
        <w:t>105,52</w:t>
      </w:r>
      <w:r w:rsidR="00B2611B" w:rsidRPr="008602C7">
        <w:rPr>
          <w:sz w:val="22"/>
          <w:szCs w:val="22"/>
        </w:rPr>
        <w:t xml:space="preserve"> kn se odnosi na jednokratne novčane naknade, 1</w:t>
      </w:r>
      <w:r w:rsidR="00FF3616">
        <w:rPr>
          <w:sz w:val="22"/>
          <w:szCs w:val="22"/>
        </w:rPr>
        <w:t>5</w:t>
      </w:r>
      <w:r w:rsidR="001E38B9" w:rsidRPr="008602C7">
        <w:rPr>
          <w:sz w:val="22"/>
          <w:szCs w:val="22"/>
        </w:rPr>
        <w:t>7</w:t>
      </w:r>
      <w:r w:rsidR="00B2611B" w:rsidRPr="008602C7">
        <w:rPr>
          <w:sz w:val="22"/>
          <w:szCs w:val="22"/>
        </w:rPr>
        <w:t>.</w:t>
      </w:r>
      <w:r w:rsidR="00FF3616">
        <w:rPr>
          <w:sz w:val="22"/>
          <w:szCs w:val="22"/>
        </w:rPr>
        <w:t>0</w:t>
      </w:r>
      <w:r w:rsidR="00B2611B" w:rsidRPr="008602C7">
        <w:rPr>
          <w:sz w:val="22"/>
          <w:szCs w:val="22"/>
        </w:rPr>
        <w:t xml:space="preserve">00,00 kn za studentske stipendije, </w:t>
      </w:r>
      <w:r w:rsidR="00FF3616">
        <w:rPr>
          <w:sz w:val="22"/>
          <w:szCs w:val="22"/>
        </w:rPr>
        <w:t>40</w:t>
      </w:r>
      <w:r w:rsidR="00B2611B" w:rsidRPr="008602C7">
        <w:rPr>
          <w:sz w:val="22"/>
          <w:szCs w:val="22"/>
        </w:rPr>
        <w:t>.000,00kn za naknade za novorođenu djecu</w:t>
      </w:r>
      <w:r w:rsidR="00832187" w:rsidRPr="008602C7">
        <w:rPr>
          <w:sz w:val="22"/>
          <w:szCs w:val="22"/>
        </w:rPr>
        <w:t xml:space="preserve">, </w:t>
      </w:r>
      <w:r w:rsidR="00FF3616">
        <w:rPr>
          <w:sz w:val="22"/>
          <w:szCs w:val="22"/>
        </w:rPr>
        <w:t>17</w:t>
      </w:r>
      <w:r w:rsidR="00832187" w:rsidRPr="008602C7">
        <w:rPr>
          <w:sz w:val="22"/>
          <w:szCs w:val="22"/>
        </w:rPr>
        <w:t>.</w:t>
      </w:r>
      <w:r w:rsidR="00FF3616">
        <w:rPr>
          <w:sz w:val="22"/>
          <w:szCs w:val="22"/>
        </w:rPr>
        <w:t>001</w:t>
      </w:r>
      <w:r w:rsidR="00832187" w:rsidRPr="008602C7">
        <w:rPr>
          <w:sz w:val="22"/>
          <w:szCs w:val="22"/>
        </w:rPr>
        <w:t>,</w:t>
      </w:r>
      <w:r w:rsidR="00FF3616">
        <w:rPr>
          <w:sz w:val="22"/>
          <w:szCs w:val="22"/>
        </w:rPr>
        <w:t xml:space="preserve">28 </w:t>
      </w:r>
      <w:r w:rsidR="00832187" w:rsidRPr="008602C7">
        <w:rPr>
          <w:sz w:val="22"/>
          <w:szCs w:val="22"/>
        </w:rPr>
        <w:t xml:space="preserve">kn za </w:t>
      </w:r>
      <w:r w:rsidR="00FF3616">
        <w:rPr>
          <w:sz w:val="22"/>
          <w:szCs w:val="22"/>
        </w:rPr>
        <w:t xml:space="preserve">ostale naknade iz proračuna u naravi </w:t>
      </w:r>
      <w:r w:rsidR="00B2611B" w:rsidRPr="008602C7">
        <w:rPr>
          <w:sz w:val="22"/>
          <w:szCs w:val="22"/>
        </w:rPr>
        <w:t>i 1</w:t>
      </w:r>
      <w:r w:rsidR="00FF3616">
        <w:rPr>
          <w:sz w:val="22"/>
          <w:szCs w:val="22"/>
        </w:rPr>
        <w:t>01</w:t>
      </w:r>
      <w:r w:rsidR="00B2611B" w:rsidRPr="008602C7">
        <w:rPr>
          <w:sz w:val="22"/>
          <w:szCs w:val="22"/>
        </w:rPr>
        <w:t>.</w:t>
      </w:r>
      <w:r w:rsidR="00FF3616">
        <w:rPr>
          <w:sz w:val="22"/>
          <w:szCs w:val="22"/>
        </w:rPr>
        <w:t>182</w:t>
      </w:r>
      <w:r w:rsidR="00B2611B" w:rsidRPr="008602C7">
        <w:rPr>
          <w:sz w:val="22"/>
          <w:szCs w:val="22"/>
        </w:rPr>
        <w:t>,1</w:t>
      </w:r>
      <w:r w:rsidR="00FF3616">
        <w:rPr>
          <w:sz w:val="22"/>
          <w:szCs w:val="22"/>
        </w:rPr>
        <w:t>8</w:t>
      </w:r>
      <w:r w:rsidR="00B2611B" w:rsidRPr="008602C7">
        <w:rPr>
          <w:sz w:val="22"/>
          <w:szCs w:val="22"/>
        </w:rPr>
        <w:t xml:space="preserve"> kn za sufinanciranje prijevoza</w:t>
      </w:r>
      <w:r w:rsidR="00FF3616">
        <w:rPr>
          <w:sz w:val="22"/>
          <w:szCs w:val="22"/>
        </w:rPr>
        <w:t xml:space="preserve"> koja je ostvarena u znatno manjem iznosu u odnosu na prethodnu godinu </w:t>
      </w:r>
      <w:r w:rsidR="00B2611B" w:rsidRPr="008602C7">
        <w:rPr>
          <w:sz w:val="22"/>
          <w:szCs w:val="22"/>
        </w:rPr>
        <w:t>.</w:t>
      </w:r>
      <w:r w:rsidRPr="008602C7">
        <w:rPr>
          <w:sz w:val="22"/>
          <w:szCs w:val="22"/>
        </w:rPr>
        <w:t xml:space="preserve"> </w:t>
      </w:r>
      <w:r w:rsidR="001B2414">
        <w:rPr>
          <w:sz w:val="22"/>
          <w:szCs w:val="22"/>
        </w:rPr>
        <w:t xml:space="preserve"> </w:t>
      </w:r>
    </w:p>
    <w:p w:rsidR="0009016D" w:rsidRDefault="0009016D" w:rsidP="0009016D">
      <w:pPr>
        <w:pStyle w:val="Default"/>
        <w:rPr>
          <w:sz w:val="22"/>
          <w:szCs w:val="22"/>
        </w:rPr>
      </w:pPr>
    </w:p>
    <w:p w:rsidR="0009016D" w:rsidRPr="008602C7" w:rsidRDefault="0009016D" w:rsidP="00C27CB4">
      <w:pPr>
        <w:autoSpaceDE w:val="0"/>
        <w:autoSpaceDN w:val="0"/>
        <w:adjustRightInd w:val="0"/>
        <w:rPr>
          <w:sz w:val="22"/>
          <w:szCs w:val="22"/>
        </w:rPr>
      </w:pPr>
      <w:r w:rsidRPr="008602C7">
        <w:rPr>
          <w:i/>
          <w:iCs/>
          <w:sz w:val="22"/>
          <w:szCs w:val="22"/>
        </w:rPr>
        <w:t xml:space="preserve">Ostali rashodi - </w:t>
      </w:r>
      <w:r w:rsidRPr="008602C7">
        <w:rPr>
          <w:sz w:val="22"/>
          <w:szCs w:val="22"/>
        </w:rPr>
        <w:t xml:space="preserve">ostali rashodi su ostvareni </w:t>
      </w:r>
      <w:r w:rsidR="00A43367" w:rsidRPr="008602C7">
        <w:rPr>
          <w:sz w:val="22"/>
          <w:szCs w:val="22"/>
        </w:rPr>
        <w:t>u iznosu od 2.</w:t>
      </w:r>
      <w:r w:rsidR="00FF3616">
        <w:rPr>
          <w:sz w:val="22"/>
          <w:szCs w:val="22"/>
        </w:rPr>
        <w:t>08</w:t>
      </w:r>
      <w:r w:rsidR="00A43367" w:rsidRPr="008602C7">
        <w:rPr>
          <w:sz w:val="22"/>
          <w:szCs w:val="22"/>
        </w:rPr>
        <w:t>5.58</w:t>
      </w:r>
      <w:r w:rsidR="00FF3616">
        <w:rPr>
          <w:sz w:val="22"/>
          <w:szCs w:val="22"/>
        </w:rPr>
        <w:t>9</w:t>
      </w:r>
      <w:r w:rsidR="00A43367" w:rsidRPr="008602C7">
        <w:rPr>
          <w:sz w:val="22"/>
          <w:szCs w:val="22"/>
        </w:rPr>
        <w:t>,</w:t>
      </w:r>
      <w:r w:rsidR="00FF3616">
        <w:rPr>
          <w:sz w:val="22"/>
          <w:szCs w:val="22"/>
        </w:rPr>
        <w:t>04</w:t>
      </w:r>
      <w:r w:rsidR="00A43367" w:rsidRPr="008602C7">
        <w:rPr>
          <w:sz w:val="22"/>
          <w:szCs w:val="22"/>
        </w:rPr>
        <w:t xml:space="preserve"> </w:t>
      </w:r>
      <w:r w:rsidRPr="008602C7">
        <w:rPr>
          <w:sz w:val="22"/>
          <w:szCs w:val="22"/>
        </w:rPr>
        <w:t>kn</w:t>
      </w:r>
      <w:r w:rsidR="00A43367" w:rsidRPr="008602C7">
        <w:rPr>
          <w:sz w:val="22"/>
          <w:szCs w:val="22"/>
        </w:rPr>
        <w:t xml:space="preserve"> i </w:t>
      </w:r>
      <w:r w:rsidR="00FF3616">
        <w:rPr>
          <w:sz w:val="22"/>
          <w:szCs w:val="22"/>
        </w:rPr>
        <w:t xml:space="preserve">manji </w:t>
      </w:r>
      <w:r w:rsidR="00A43367" w:rsidRPr="008602C7">
        <w:rPr>
          <w:sz w:val="22"/>
          <w:szCs w:val="22"/>
        </w:rPr>
        <w:t>su u odnosu na 201</w:t>
      </w:r>
      <w:r w:rsidR="00FF3616">
        <w:rPr>
          <w:sz w:val="22"/>
          <w:szCs w:val="22"/>
        </w:rPr>
        <w:t>9</w:t>
      </w:r>
      <w:r w:rsidR="00A43367" w:rsidRPr="008602C7">
        <w:rPr>
          <w:sz w:val="22"/>
          <w:szCs w:val="22"/>
        </w:rPr>
        <w:t xml:space="preserve">.godinu za </w:t>
      </w:r>
      <w:r w:rsidR="00FF3616">
        <w:rPr>
          <w:sz w:val="22"/>
          <w:szCs w:val="22"/>
        </w:rPr>
        <w:t>689</w:t>
      </w:r>
      <w:r w:rsidR="00A43367" w:rsidRPr="008602C7">
        <w:rPr>
          <w:sz w:val="22"/>
          <w:szCs w:val="22"/>
        </w:rPr>
        <w:t>.</w:t>
      </w:r>
      <w:r w:rsidR="00FF3616">
        <w:rPr>
          <w:sz w:val="22"/>
          <w:szCs w:val="22"/>
        </w:rPr>
        <w:t>979,12</w:t>
      </w:r>
      <w:r w:rsidR="00A43367" w:rsidRPr="008602C7">
        <w:rPr>
          <w:sz w:val="22"/>
          <w:szCs w:val="22"/>
        </w:rPr>
        <w:t xml:space="preserve"> kn. Ostali rashodi se sastoje od tekućih donacija u iznosu od </w:t>
      </w:r>
      <w:r w:rsidR="00FF3616">
        <w:rPr>
          <w:sz w:val="22"/>
          <w:szCs w:val="22"/>
        </w:rPr>
        <w:t>1</w:t>
      </w:r>
      <w:r w:rsidR="00A43367" w:rsidRPr="008602C7">
        <w:rPr>
          <w:sz w:val="22"/>
          <w:szCs w:val="22"/>
        </w:rPr>
        <w:t>.</w:t>
      </w:r>
      <w:r w:rsidR="00FF3616">
        <w:rPr>
          <w:sz w:val="22"/>
          <w:szCs w:val="22"/>
        </w:rPr>
        <w:t>814</w:t>
      </w:r>
      <w:r w:rsidR="00A43367" w:rsidRPr="008602C7">
        <w:rPr>
          <w:sz w:val="22"/>
          <w:szCs w:val="22"/>
        </w:rPr>
        <w:t>.</w:t>
      </w:r>
      <w:r w:rsidR="00FF3616">
        <w:rPr>
          <w:sz w:val="22"/>
          <w:szCs w:val="22"/>
        </w:rPr>
        <w:t>759,18</w:t>
      </w:r>
      <w:r w:rsidR="00A43367" w:rsidRPr="008602C7">
        <w:rPr>
          <w:sz w:val="22"/>
          <w:szCs w:val="22"/>
        </w:rPr>
        <w:t xml:space="preserve"> kn (tekuće donacije za udruge koje se financiraju iz proračuna</w:t>
      </w:r>
      <w:r w:rsidR="00CA1BA2" w:rsidRPr="008602C7">
        <w:rPr>
          <w:sz w:val="22"/>
          <w:szCs w:val="22"/>
        </w:rPr>
        <w:t>)</w:t>
      </w:r>
      <w:r w:rsidR="00A43367" w:rsidRPr="008602C7">
        <w:rPr>
          <w:sz w:val="22"/>
          <w:szCs w:val="22"/>
        </w:rPr>
        <w:t>, kapitalnih donacija u iznosu od 2</w:t>
      </w:r>
      <w:r w:rsidR="00FF3616">
        <w:rPr>
          <w:sz w:val="22"/>
          <w:szCs w:val="22"/>
        </w:rPr>
        <w:t>01</w:t>
      </w:r>
      <w:r w:rsidR="00A43367" w:rsidRPr="008602C7">
        <w:rPr>
          <w:sz w:val="22"/>
          <w:szCs w:val="22"/>
        </w:rPr>
        <w:t>.0</w:t>
      </w:r>
      <w:r w:rsidR="00634422">
        <w:rPr>
          <w:sz w:val="22"/>
          <w:szCs w:val="22"/>
        </w:rPr>
        <w:t>49</w:t>
      </w:r>
      <w:r w:rsidR="00A43367" w:rsidRPr="008602C7">
        <w:rPr>
          <w:sz w:val="22"/>
          <w:szCs w:val="22"/>
        </w:rPr>
        <w:t>,8</w:t>
      </w:r>
      <w:r w:rsidR="00634422">
        <w:rPr>
          <w:sz w:val="22"/>
          <w:szCs w:val="22"/>
        </w:rPr>
        <w:t>6</w:t>
      </w:r>
      <w:r w:rsidR="00A43367" w:rsidRPr="008602C7">
        <w:rPr>
          <w:sz w:val="22"/>
          <w:szCs w:val="22"/>
        </w:rPr>
        <w:t xml:space="preserve"> kn (</w:t>
      </w:r>
      <w:r w:rsidR="00CA1BA2" w:rsidRPr="008602C7">
        <w:rPr>
          <w:sz w:val="22"/>
          <w:szCs w:val="22"/>
        </w:rPr>
        <w:t>k</w:t>
      </w:r>
      <w:r w:rsidR="00C27CB4" w:rsidRPr="008602C7">
        <w:rPr>
          <w:color w:val="000000"/>
          <w:sz w:val="22"/>
          <w:szCs w:val="22"/>
        </w:rPr>
        <w:t>apitalne donacije Dvd Tučepi za plaćanje leasinga za novo vatrogasno vozilo</w:t>
      </w:r>
      <w:r w:rsidR="00A43367" w:rsidRPr="008602C7">
        <w:rPr>
          <w:sz w:val="22"/>
          <w:szCs w:val="22"/>
        </w:rPr>
        <w:t xml:space="preserve">) i kapitalnih pomoći trgovačkim društvima u javnom sektoru u iznosu od </w:t>
      </w:r>
      <w:r w:rsidR="00634422">
        <w:rPr>
          <w:sz w:val="22"/>
          <w:szCs w:val="22"/>
        </w:rPr>
        <w:t>69.780,00</w:t>
      </w:r>
      <w:r w:rsidR="00A43367" w:rsidRPr="008602C7">
        <w:rPr>
          <w:sz w:val="22"/>
          <w:szCs w:val="22"/>
        </w:rPr>
        <w:t xml:space="preserve"> (</w:t>
      </w:r>
      <w:r w:rsidR="008576E9" w:rsidRPr="008602C7">
        <w:rPr>
          <w:color w:val="000000"/>
          <w:sz w:val="22"/>
          <w:szCs w:val="22"/>
        </w:rPr>
        <w:t>Kapitalne pomoći  isplaćene su Tučepi d.o.o.</w:t>
      </w:r>
      <w:r w:rsidR="00634422">
        <w:rPr>
          <w:color w:val="000000"/>
          <w:sz w:val="22"/>
          <w:szCs w:val="22"/>
        </w:rPr>
        <w:t xml:space="preserve"> za sufinanciranje nabave malog rabljenog komunalnog vozila ).</w:t>
      </w:r>
    </w:p>
    <w:p w:rsidR="0009016D" w:rsidRDefault="0009016D" w:rsidP="0009016D">
      <w:pPr>
        <w:pStyle w:val="Default"/>
        <w:rPr>
          <w:sz w:val="22"/>
          <w:szCs w:val="22"/>
        </w:rPr>
      </w:pPr>
    </w:p>
    <w:p w:rsidR="0009016D" w:rsidRPr="00375A34" w:rsidRDefault="0009016D" w:rsidP="00375A34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Rashodi za nabavu nefinancijske imovine – </w:t>
      </w:r>
      <w:r w:rsidR="00A536E7">
        <w:rPr>
          <w:sz w:val="22"/>
          <w:szCs w:val="22"/>
        </w:rPr>
        <w:t xml:space="preserve">su </w:t>
      </w:r>
      <w:r>
        <w:rPr>
          <w:sz w:val="22"/>
          <w:szCs w:val="22"/>
        </w:rPr>
        <w:t>ostvaren</w:t>
      </w:r>
      <w:r w:rsidR="00A536E7">
        <w:rPr>
          <w:sz w:val="22"/>
          <w:szCs w:val="22"/>
        </w:rPr>
        <w:t xml:space="preserve">i u ukupnom iznosu od </w:t>
      </w:r>
      <w:r w:rsidR="007B0648">
        <w:rPr>
          <w:sz w:val="22"/>
          <w:szCs w:val="22"/>
        </w:rPr>
        <w:t>3</w:t>
      </w:r>
      <w:r w:rsidR="00A536E7">
        <w:rPr>
          <w:sz w:val="22"/>
          <w:szCs w:val="22"/>
        </w:rPr>
        <w:t>.</w:t>
      </w:r>
      <w:r w:rsidR="007B0648">
        <w:rPr>
          <w:sz w:val="22"/>
          <w:szCs w:val="22"/>
        </w:rPr>
        <w:t>7</w:t>
      </w:r>
      <w:r w:rsidR="00A536E7">
        <w:rPr>
          <w:sz w:val="22"/>
          <w:szCs w:val="22"/>
        </w:rPr>
        <w:t>6</w:t>
      </w:r>
      <w:r w:rsidR="007B0648">
        <w:rPr>
          <w:sz w:val="22"/>
          <w:szCs w:val="22"/>
        </w:rPr>
        <w:t>2</w:t>
      </w:r>
      <w:r w:rsidR="00A536E7">
        <w:rPr>
          <w:sz w:val="22"/>
          <w:szCs w:val="22"/>
        </w:rPr>
        <w:t>.</w:t>
      </w:r>
      <w:r w:rsidR="007B0648">
        <w:rPr>
          <w:sz w:val="22"/>
          <w:szCs w:val="22"/>
        </w:rPr>
        <w:t>108,23</w:t>
      </w:r>
      <w:r w:rsidR="00A536E7">
        <w:rPr>
          <w:sz w:val="22"/>
          <w:szCs w:val="22"/>
        </w:rPr>
        <w:t xml:space="preserve"> kn i z</w:t>
      </w:r>
      <w:r w:rsidR="00375A34">
        <w:rPr>
          <w:sz w:val="22"/>
          <w:szCs w:val="22"/>
        </w:rPr>
        <w:t xml:space="preserve">a više od tri puta su </w:t>
      </w:r>
      <w:r w:rsidR="007B0648">
        <w:rPr>
          <w:sz w:val="22"/>
          <w:szCs w:val="22"/>
        </w:rPr>
        <w:t xml:space="preserve">manji </w:t>
      </w:r>
      <w:r w:rsidR="00A536E7">
        <w:rPr>
          <w:sz w:val="22"/>
          <w:szCs w:val="22"/>
        </w:rPr>
        <w:t xml:space="preserve">odnosu na prethodnu godinu </w:t>
      </w:r>
      <w:r>
        <w:rPr>
          <w:sz w:val="22"/>
          <w:szCs w:val="22"/>
        </w:rPr>
        <w:t>.</w:t>
      </w:r>
      <w:r w:rsidR="00A536E7">
        <w:rPr>
          <w:sz w:val="22"/>
          <w:szCs w:val="22"/>
        </w:rPr>
        <w:t xml:space="preserve"> Na </w:t>
      </w:r>
      <w:r w:rsidR="00375A34">
        <w:rPr>
          <w:sz w:val="22"/>
          <w:szCs w:val="22"/>
        </w:rPr>
        <w:t xml:space="preserve">smanjenje ulaganja utjecalo je manje ostvarenje prihoda i primitaka u </w:t>
      </w:r>
      <w:r w:rsidR="00375A34">
        <w:rPr>
          <w:sz w:val="22"/>
          <w:szCs w:val="22"/>
        </w:rPr>
        <w:lastRenderedPageBreak/>
        <w:t xml:space="preserve">odnosu na prethodne godine. </w:t>
      </w:r>
      <w:r w:rsidR="00375A34" w:rsidRPr="00375A34">
        <w:rPr>
          <w:sz w:val="22"/>
          <w:szCs w:val="22"/>
        </w:rPr>
        <w:t>Rashodi za nabavu neproizvedene imovine u izvještajnom razdoblju izvršeni</w:t>
      </w:r>
      <w:r w:rsidR="00F33617">
        <w:rPr>
          <w:sz w:val="22"/>
          <w:szCs w:val="22"/>
        </w:rPr>
        <w:t xml:space="preserve"> su</w:t>
      </w:r>
      <w:r w:rsidR="00375A34" w:rsidRPr="00375A34">
        <w:rPr>
          <w:sz w:val="22"/>
          <w:szCs w:val="22"/>
        </w:rPr>
        <w:t xml:space="preserve"> u iznosu od 16.20</w:t>
      </w:r>
      <w:r w:rsidR="00375A34">
        <w:rPr>
          <w:sz w:val="22"/>
          <w:szCs w:val="22"/>
        </w:rPr>
        <w:t xml:space="preserve">5,74 </w:t>
      </w:r>
      <w:r w:rsidR="00375A34" w:rsidRPr="00375A34">
        <w:rPr>
          <w:sz w:val="22"/>
          <w:szCs w:val="22"/>
        </w:rPr>
        <w:t>kn.</w:t>
      </w:r>
      <w:r w:rsidR="00375A34" w:rsidRPr="00375A34">
        <w:rPr>
          <w:color w:val="FF0000"/>
          <w:sz w:val="22"/>
          <w:szCs w:val="22"/>
        </w:rPr>
        <w:t xml:space="preserve"> </w:t>
      </w:r>
      <w:r w:rsidR="00375A34" w:rsidRPr="00375A34">
        <w:rPr>
          <w:color w:val="000000" w:themeColor="text1"/>
          <w:sz w:val="22"/>
          <w:szCs w:val="22"/>
        </w:rPr>
        <w:t>Ova skupina rashoda bilježi značajnije smanjenje u odnosu na prethodnu godinu a vezana je za otkup zemljišta kat.čest.zem. 5053/2. k.o. Tučepi.</w:t>
      </w:r>
      <w:r w:rsidR="00375A34">
        <w:rPr>
          <w:color w:val="000000" w:themeColor="text1"/>
          <w:sz w:val="22"/>
          <w:szCs w:val="22"/>
        </w:rPr>
        <w:t xml:space="preserve"> </w:t>
      </w:r>
      <w:r w:rsidR="00375A34" w:rsidRPr="00375A34">
        <w:rPr>
          <w:color w:val="000000" w:themeColor="text1"/>
          <w:sz w:val="22"/>
          <w:szCs w:val="22"/>
        </w:rPr>
        <w:t>Rashodi za nabavu proizvedene dugotrajne imovine izvršeni</w:t>
      </w:r>
      <w:r w:rsidR="00375A34">
        <w:rPr>
          <w:color w:val="000000" w:themeColor="text1"/>
          <w:sz w:val="22"/>
          <w:szCs w:val="22"/>
        </w:rPr>
        <w:t xml:space="preserve"> su </w:t>
      </w:r>
      <w:r w:rsidR="00375A34" w:rsidRPr="00375A34">
        <w:rPr>
          <w:color w:val="000000" w:themeColor="text1"/>
          <w:sz w:val="22"/>
          <w:szCs w:val="22"/>
        </w:rPr>
        <w:t xml:space="preserve"> u iznosu od 3.754.902 kn ili za 61,00% manje u odnosu na izvršenje u prethodnoj godini. Rashodi za građevinske objekte izvršeni su u iznosu od 2.755.207 kn, a odnose se najvećim dijelom na završetke projekta koji su započeti u 2019.godini ( izgradnja ceste iznad hotela Jadran, uređenje igrališta dječjeg vrtića, uređenje obalnog pojasa od Marine do Gospina potoka i sanacija pokosa uz rub DC8. Rashodi za postrojenja i opremu izvršeni su iznosu od 75.570</w:t>
      </w:r>
      <w:r w:rsidR="00F33617">
        <w:rPr>
          <w:color w:val="000000" w:themeColor="text1"/>
          <w:sz w:val="22"/>
          <w:szCs w:val="22"/>
        </w:rPr>
        <w:t>,00</w:t>
      </w:r>
      <w:r w:rsidR="00375A34" w:rsidRPr="00375A34">
        <w:rPr>
          <w:color w:val="000000" w:themeColor="text1"/>
          <w:sz w:val="22"/>
          <w:szCs w:val="22"/>
        </w:rPr>
        <w:t xml:space="preserve"> kn i bilježe povećanje od 8,50% u odnosu na prethodno razdoblje. U ovom periodu došlo je do ulaganja u komunikacijsku opremu ( mobilne uređaje ) i ostalu opremu što je dovelo do povećanja ulaganja u odnosu na prethodnu godinu.</w:t>
      </w:r>
      <w:r w:rsidR="00375A34">
        <w:rPr>
          <w:color w:val="000000" w:themeColor="text1"/>
          <w:sz w:val="22"/>
          <w:szCs w:val="22"/>
        </w:rPr>
        <w:t xml:space="preserve"> </w:t>
      </w:r>
      <w:r w:rsidR="00375A34" w:rsidRPr="00375A34">
        <w:rPr>
          <w:sz w:val="22"/>
          <w:szCs w:val="22"/>
        </w:rPr>
        <w:t>Rashodi za nematerijalnu proizvedenu imovinu izvršeni</w:t>
      </w:r>
      <w:r w:rsidR="00375A34">
        <w:rPr>
          <w:sz w:val="22"/>
          <w:szCs w:val="22"/>
        </w:rPr>
        <w:t xml:space="preserve"> su</w:t>
      </w:r>
      <w:r w:rsidR="00375A34" w:rsidRPr="00375A34">
        <w:rPr>
          <w:sz w:val="22"/>
          <w:szCs w:val="22"/>
        </w:rPr>
        <w:t xml:space="preserve"> u iznosu od 915.125</w:t>
      </w:r>
      <w:r w:rsidR="00F33617">
        <w:rPr>
          <w:sz w:val="22"/>
          <w:szCs w:val="22"/>
        </w:rPr>
        <w:t>,00</w:t>
      </w:r>
      <w:r w:rsidR="00375A34" w:rsidRPr="00375A34">
        <w:rPr>
          <w:sz w:val="22"/>
          <w:szCs w:val="22"/>
        </w:rPr>
        <w:t xml:space="preserve">  kn i bilježe znatno povećanje od 164,20 %  u odnosu na 2019. godinu. Povećanje se najvećim dijelom odnosi na izradu glavnog i izvedbenog projekta Eko marine Tučepi u iznosu od 766.500</w:t>
      </w:r>
      <w:r w:rsidR="00375A34">
        <w:rPr>
          <w:sz w:val="22"/>
          <w:szCs w:val="22"/>
        </w:rPr>
        <w:t>,00</w:t>
      </w:r>
      <w:r w:rsidR="00375A34" w:rsidRPr="00375A34">
        <w:rPr>
          <w:sz w:val="22"/>
          <w:szCs w:val="22"/>
        </w:rPr>
        <w:t xml:space="preserve"> kn.</w:t>
      </w:r>
      <w:r w:rsidR="00A536E7" w:rsidRPr="00375A34">
        <w:rPr>
          <w:sz w:val="22"/>
          <w:szCs w:val="22"/>
        </w:rPr>
        <w:t xml:space="preserve"> </w:t>
      </w:r>
    </w:p>
    <w:p w:rsidR="0009016D" w:rsidRDefault="0009016D" w:rsidP="0009016D">
      <w:pPr>
        <w:pStyle w:val="Default"/>
        <w:rPr>
          <w:sz w:val="22"/>
          <w:szCs w:val="22"/>
        </w:rPr>
      </w:pPr>
    </w:p>
    <w:p w:rsidR="001D51DC" w:rsidRDefault="0009016D" w:rsidP="0009016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Izdaci za financijsku imovinu i otplate zajmova </w:t>
      </w:r>
      <w:r w:rsidR="00B83C75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 w:rsidR="00B83C75">
        <w:rPr>
          <w:sz w:val="22"/>
          <w:szCs w:val="22"/>
        </w:rPr>
        <w:t>U 20</w:t>
      </w:r>
      <w:r w:rsidR="0057508D">
        <w:rPr>
          <w:sz w:val="22"/>
          <w:szCs w:val="22"/>
        </w:rPr>
        <w:t>20</w:t>
      </w:r>
      <w:r w:rsidR="00B83C75">
        <w:rPr>
          <w:sz w:val="22"/>
          <w:szCs w:val="22"/>
        </w:rPr>
        <w:t xml:space="preserve">.godini nije bili izdataka za financijsku imovinu i otplate zajmova. </w:t>
      </w:r>
    </w:p>
    <w:p w:rsidR="00363F21" w:rsidRDefault="00363F21" w:rsidP="0009016D">
      <w:pPr>
        <w:pStyle w:val="Default"/>
        <w:rPr>
          <w:sz w:val="22"/>
          <w:szCs w:val="22"/>
        </w:rPr>
      </w:pPr>
    </w:p>
    <w:p w:rsidR="0061030A" w:rsidRDefault="00363F21" w:rsidP="00363F2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POPIS MJERA ZA OTKLANJANJE UTVRĐENIH UZROKA NASTANKA NEGATIVNOG POSLOVANJA TE MJERA ZA STABILNO ODRŽIVO POSLOVANJE </w:t>
      </w:r>
    </w:p>
    <w:p w:rsidR="0061030A" w:rsidRDefault="0061030A" w:rsidP="00363F21">
      <w:pPr>
        <w:pStyle w:val="Default"/>
        <w:rPr>
          <w:b/>
          <w:bCs/>
          <w:sz w:val="22"/>
          <w:szCs w:val="22"/>
        </w:rPr>
      </w:pPr>
    </w:p>
    <w:p w:rsidR="0061030A" w:rsidRDefault="00363F21" w:rsidP="00551B4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U nastavku se daje popis mjera za otklanjanje utvrđenih uzroka nastanka negativnog poslovanja u prethodnim godinama na koje </w:t>
      </w:r>
      <w:r w:rsidR="00696F1D">
        <w:rPr>
          <w:sz w:val="22"/>
          <w:szCs w:val="22"/>
        </w:rPr>
        <w:t>Općina Tučepi</w:t>
      </w:r>
      <w:r>
        <w:rPr>
          <w:sz w:val="22"/>
          <w:szCs w:val="22"/>
        </w:rPr>
        <w:t xml:space="preserve"> može utjecati, te ujedno i popis mjera za stabilno održivo poslovanje: </w:t>
      </w:r>
    </w:p>
    <w:p w:rsidR="0061030A" w:rsidRDefault="0061030A" w:rsidP="00363F21">
      <w:pPr>
        <w:pStyle w:val="Default"/>
        <w:rPr>
          <w:sz w:val="22"/>
          <w:szCs w:val="22"/>
        </w:rPr>
      </w:pPr>
    </w:p>
    <w:p w:rsidR="0061030A" w:rsidRDefault="00363F21" w:rsidP="00551B4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1. Prioritetno planiranje i izvršavanje proračuna za zakonske i ugovorne obveze; </w:t>
      </w:r>
    </w:p>
    <w:p w:rsidR="0061030A" w:rsidRDefault="00363F21" w:rsidP="00551B4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2. Praćenje naplate prihoda i provođenje više mjera prisilne naplate; </w:t>
      </w:r>
    </w:p>
    <w:p w:rsidR="0061030A" w:rsidRDefault="00363F21" w:rsidP="00551B4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 Povećanje financiranja proračunskih projekata i aktivnosti iz vanjskih izvora financiranja; </w:t>
      </w:r>
    </w:p>
    <w:p w:rsidR="00AF7B56" w:rsidRDefault="008C145E" w:rsidP="00551B4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4</w:t>
      </w:r>
      <w:r w:rsidR="00AF7B56">
        <w:rPr>
          <w:sz w:val="22"/>
          <w:szCs w:val="22"/>
        </w:rPr>
        <w:t xml:space="preserve">. Smanjenje materijalnih rashoda uz zadržavanje kvalitete rada i pružanja usluga građanima; </w:t>
      </w:r>
    </w:p>
    <w:p w:rsidR="00AF7B56" w:rsidRDefault="00AF7B56" w:rsidP="00AF7B56">
      <w:pPr>
        <w:pStyle w:val="Default"/>
        <w:rPr>
          <w:sz w:val="22"/>
          <w:szCs w:val="22"/>
        </w:rPr>
      </w:pPr>
    </w:p>
    <w:p w:rsidR="00AD7658" w:rsidRDefault="00082FF7" w:rsidP="00AF7B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Ostvareni manjak prihoda iz prethodnih godina </w:t>
      </w:r>
      <w:r w:rsidR="0052659F">
        <w:rPr>
          <w:sz w:val="22"/>
          <w:szCs w:val="22"/>
        </w:rPr>
        <w:t>jednim dijelom je posljedica smanjena ostvarenja prihoda poslovanja kao posljedica smanjenog prometa hotelskih i ugostiteljskih objekata zbog situacije izazvane zaraznom bolesti COVID-19 . Za određene projekte koji su bili planirani i ostvareni u prethodnim godinama sredstva od kapitalnih donacija iz državnog i županijskog proračuna nisu ostvarena u planiranim iznosima što je utjecalo na povećanje manjka.</w:t>
      </w:r>
      <w:r w:rsidR="0052659F" w:rsidRPr="0052659F">
        <w:rPr>
          <w:sz w:val="22"/>
          <w:szCs w:val="22"/>
        </w:rPr>
        <w:t xml:space="preserve"> </w:t>
      </w:r>
      <w:r w:rsidR="0052659F">
        <w:rPr>
          <w:sz w:val="22"/>
          <w:szCs w:val="22"/>
        </w:rPr>
        <w:t>Na ostvareni manjak utjecalo je i povećanje dijela planiranih rashoda u odnosu na prethodne godine (ostale usluge tekućeg održavanja su se znatno povećale) kao i činjenica da se nije uspjela povećati naplata prihoda u odnosu na p</w:t>
      </w:r>
      <w:r w:rsidR="00014D7E">
        <w:rPr>
          <w:sz w:val="22"/>
          <w:szCs w:val="22"/>
        </w:rPr>
        <w:t>lanirano</w:t>
      </w:r>
      <w:r w:rsidR="0052659F">
        <w:rPr>
          <w:sz w:val="22"/>
          <w:szCs w:val="22"/>
        </w:rPr>
        <w:t xml:space="preserve">. </w:t>
      </w:r>
      <w:r w:rsidR="00BD7031">
        <w:rPr>
          <w:sz w:val="22"/>
          <w:szCs w:val="22"/>
        </w:rPr>
        <w:t xml:space="preserve">Ostvareni </w:t>
      </w:r>
      <w:r w:rsidR="00AF7B56">
        <w:rPr>
          <w:sz w:val="22"/>
          <w:szCs w:val="22"/>
        </w:rPr>
        <w:t xml:space="preserve">manjak prihoda </w:t>
      </w:r>
      <w:r w:rsidR="00280491">
        <w:rPr>
          <w:sz w:val="22"/>
          <w:szCs w:val="22"/>
        </w:rPr>
        <w:t>iz prethodnih godina u iznosu od 3.89</w:t>
      </w:r>
      <w:r w:rsidR="0007090E">
        <w:rPr>
          <w:sz w:val="22"/>
          <w:szCs w:val="22"/>
        </w:rPr>
        <w:t>6</w:t>
      </w:r>
      <w:r w:rsidR="00280491">
        <w:rPr>
          <w:sz w:val="22"/>
          <w:szCs w:val="22"/>
        </w:rPr>
        <w:t>.</w:t>
      </w:r>
      <w:r w:rsidR="0007090E">
        <w:rPr>
          <w:sz w:val="22"/>
          <w:szCs w:val="22"/>
        </w:rPr>
        <w:t>498</w:t>
      </w:r>
      <w:r w:rsidR="00280491">
        <w:rPr>
          <w:sz w:val="22"/>
          <w:szCs w:val="22"/>
        </w:rPr>
        <w:t>,</w:t>
      </w:r>
      <w:r>
        <w:rPr>
          <w:sz w:val="22"/>
          <w:szCs w:val="22"/>
        </w:rPr>
        <w:t>64</w:t>
      </w:r>
      <w:r w:rsidR="00280491">
        <w:rPr>
          <w:sz w:val="22"/>
          <w:szCs w:val="22"/>
        </w:rPr>
        <w:t xml:space="preserve"> kn jednim dijelom će se pokriti ostvarenim viškom prihoda i primitaka u odnosu na rashode i izdatke u 2021.godini </w:t>
      </w:r>
    </w:p>
    <w:p w:rsidR="00AF7B56" w:rsidRDefault="00280491" w:rsidP="00AF7B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 procjena viška je o</w:t>
      </w:r>
      <w:r w:rsidR="00082FF7">
        <w:rPr>
          <w:sz w:val="22"/>
          <w:szCs w:val="22"/>
        </w:rPr>
        <w:t>k</w:t>
      </w:r>
      <w:r>
        <w:rPr>
          <w:sz w:val="22"/>
          <w:szCs w:val="22"/>
        </w:rPr>
        <w:t xml:space="preserve">o 500.000,00 kuna ). </w:t>
      </w:r>
      <w:r w:rsidR="00082FF7">
        <w:rPr>
          <w:sz w:val="22"/>
          <w:szCs w:val="22"/>
        </w:rPr>
        <w:t>Ostatak manjka u iznosu oko 3.400.000 kn planira se pokriti u trogodišnjem periodu 2022-2024.godine i taj manjak je ubačen u Plan proračuna za 2022.godinu i projekcije za 2023. i 2024.godinu.</w:t>
      </w:r>
      <w:r w:rsidR="0052659F">
        <w:rPr>
          <w:sz w:val="22"/>
          <w:szCs w:val="22"/>
        </w:rPr>
        <w:t xml:space="preserve"> </w:t>
      </w:r>
    </w:p>
    <w:p w:rsidR="00AF7B56" w:rsidRDefault="00AF7B56" w:rsidP="00AF7B56">
      <w:pPr>
        <w:pStyle w:val="Default"/>
        <w:rPr>
          <w:sz w:val="22"/>
          <w:szCs w:val="22"/>
        </w:rPr>
      </w:pPr>
    </w:p>
    <w:p w:rsidR="00AF7B56" w:rsidRDefault="00AF7B56" w:rsidP="00AF7B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AKCIJSKI PLAN PROVEDBE NAVEDENIH MJERA </w:t>
      </w:r>
      <w:r>
        <w:rPr>
          <w:sz w:val="22"/>
          <w:szCs w:val="22"/>
        </w:rPr>
        <w:t xml:space="preserve">U nastavku je tabelarni prikaz mjera, načina provedbe, rok provedbe, financijski učinak te naziv odgovorne osobe za provođenje mjera: </w:t>
      </w:r>
    </w:p>
    <w:p w:rsidR="001D51DC" w:rsidRDefault="001D51DC" w:rsidP="00AF7B56">
      <w:pPr>
        <w:pStyle w:val="Default"/>
        <w:rPr>
          <w:sz w:val="22"/>
          <w:szCs w:val="22"/>
        </w:rPr>
      </w:pPr>
    </w:p>
    <w:p w:rsidR="001D51DC" w:rsidRDefault="001D51DC" w:rsidP="00AF7B56">
      <w:pPr>
        <w:pStyle w:val="Default"/>
        <w:rPr>
          <w:sz w:val="22"/>
          <w:szCs w:val="22"/>
        </w:rPr>
      </w:pPr>
    </w:p>
    <w:p w:rsidR="001D51DC" w:rsidRDefault="001D51DC" w:rsidP="00AF7B56">
      <w:pPr>
        <w:pStyle w:val="Default"/>
        <w:rPr>
          <w:sz w:val="22"/>
          <w:szCs w:val="22"/>
        </w:rPr>
      </w:pPr>
    </w:p>
    <w:p w:rsidR="00363F21" w:rsidRDefault="00363F21" w:rsidP="0009016D">
      <w:pPr>
        <w:pStyle w:val="Default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2"/>
        <w:gridCol w:w="3106"/>
        <w:gridCol w:w="1345"/>
        <w:gridCol w:w="1646"/>
        <w:gridCol w:w="2010"/>
      </w:tblGrid>
      <w:tr w:rsidR="00874FCF" w:rsidTr="00085AD5">
        <w:trPr>
          <w:trHeight w:val="463"/>
        </w:trPr>
        <w:tc>
          <w:tcPr>
            <w:tcW w:w="1992" w:type="dxa"/>
          </w:tcPr>
          <w:p w:rsidR="00874FCF" w:rsidRPr="000E1BCB" w:rsidRDefault="00874FCF" w:rsidP="0009016D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NAZ</w:t>
            </w:r>
            <w:r w:rsidR="00FE2EBE" w:rsidRPr="000E1BCB">
              <w:rPr>
                <w:sz w:val="20"/>
                <w:szCs w:val="20"/>
              </w:rPr>
              <w:t>I</w:t>
            </w:r>
            <w:r w:rsidRPr="000E1BCB">
              <w:rPr>
                <w:sz w:val="20"/>
                <w:szCs w:val="20"/>
              </w:rPr>
              <w:t>V MJERE</w:t>
            </w:r>
          </w:p>
        </w:tc>
        <w:tc>
          <w:tcPr>
            <w:tcW w:w="3106" w:type="dxa"/>
          </w:tcPr>
          <w:p w:rsidR="00874FCF" w:rsidRPr="000E1BCB" w:rsidRDefault="00874FCF" w:rsidP="0009016D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NAČIN PROVEDBE</w:t>
            </w:r>
          </w:p>
        </w:tc>
        <w:tc>
          <w:tcPr>
            <w:tcW w:w="1345" w:type="dxa"/>
          </w:tcPr>
          <w:p w:rsidR="00874FCF" w:rsidRPr="000E1BCB" w:rsidRDefault="00874FCF" w:rsidP="0009016D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ROK PROVEDBE</w:t>
            </w:r>
          </w:p>
        </w:tc>
        <w:tc>
          <w:tcPr>
            <w:tcW w:w="1646" w:type="dxa"/>
          </w:tcPr>
          <w:p w:rsidR="00874FCF" w:rsidRPr="000E1BCB" w:rsidRDefault="00874FCF" w:rsidP="0009016D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TROGODIŠNJI FINANCIJSKI UČINAK</w:t>
            </w:r>
          </w:p>
        </w:tc>
        <w:tc>
          <w:tcPr>
            <w:tcW w:w="2010" w:type="dxa"/>
          </w:tcPr>
          <w:p w:rsidR="00874FCF" w:rsidRPr="000E1BCB" w:rsidRDefault="00874FCF" w:rsidP="0009016D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ODGOVORNA OSOBA</w:t>
            </w:r>
          </w:p>
        </w:tc>
      </w:tr>
      <w:tr w:rsidR="00874FCF" w:rsidTr="00085AD5">
        <w:trPr>
          <w:trHeight w:val="554"/>
        </w:trPr>
        <w:tc>
          <w:tcPr>
            <w:tcW w:w="1992" w:type="dxa"/>
          </w:tcPr>
          <w:p w:rsidR="00FE2EBE" w:rsidRPr="000E1BCB" w:rsidRDefault="00FE2EBE" w:rsidP="00FE2EB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Prioritetno planiranje i izvršavanje proračuna za zakonske i ugovorne </w:t>
            </w:r>
          </w:p>
          <w:p w:rsidR="00874FCF" w:rsidRPr="000E1BCB" w:rsidRDefault="00FE2EBE" w:rsidP="0009016D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obveze</w:t>
            </w:r>
          </w:p>
        </w:tc>
        <w:tc>
          <w:tcPr>
            <w:tcW w:w="3106" w:type="dxa"/>
          </w:tcPr>
          <w:p w:rsidR="00FE2EBE" w:rsidRPr="000E1BCB" w:rsidRDefault="00FE2EBE" w:rsidP="00FE2EB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Mjera podrazumijeva prioritetno podmirivanje već ugovorenih obveza, odnosno zakonskih obveza </w:t>
            </w:r>
          </w:p>
          <w:p w:rsidR="00874FCF" w:rsidRPr="000E1BCB" w:rsidRDefault="00874FCF" w:rsidP="000901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874FCF" w:rsidRPr="000E1BCB" w:rsidRDefault="00467CB3" w:rsidP="0009016D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31.12.202</w:t>
            </w:r>
            <w:r w:rsidR="00F6665E">
              <w:rPr>
                <w:sz w:val="20"/>
                <w:szCs w:val="20"/>
              </w:rPr>
              <w:t>4</w:t>
            </w:r>
            <w:r w:rsidRPr="000E1BCB">
              <w:rPr>
                <w:sz w:val="20"/>
                <w:szCs w:val="20"/>
              </w:rPr>
              <w:t>.</w:t>
            </w:r>
          </w:p>
        </w:tc>
        <w:tc>
          <w:tcPr>
            <w:tcW w:w="1646" w:type="dxa"/>
          </w:tcPr>
          <w:p w:rsidR="00C02191" w:rsidRPr="000E1BCB" w:rsidRDefault="008C145E" w:rsidP="00C02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D4C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8562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</w:t>
            </w:r>
            <w:r w:rsidR="00C02191" w:rsidRPr="000E1BC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 kn</w:t>
            </w:r>
            <w:r w:rsidR="00C02191" w:rsidRPr="000E1BCB">
              <w:rPr>
                <w:sz w:val="20"/>
                <w:szCs w:val="20"/>
              </w:rPr>
              <w:t xml:space="preserve"> </w:t>
            </w:r>
          </w:p>
          <w:p w:rsidR="00874FCF" w:rsidRPr="000E1BCB" w:rsidRDefault="00874FCF" w:rsidP="000901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C02191" w:rsidRPr="000E1BCB" w:rsidRDefault="009D4C02" w:rsidP="00C02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odsjeka za proračun i financije</w:t>
            </w:r>
            <w:r w:rsidR="00C02191" w:rsidRPr="000E1BCB">
              <w:rPr>
                <w:sz w:val="20"/>
                <w:szCs w:val="20"/>
              </w:rPr>
              <w:t xml:space="preserve"> </w:t>
            </w:r>
          </w:p>
          <w:p w:rsidR="00874FCF" w:rsidRPr="000E1BCB" w:rsidRDefault="00874FCF" w:rsidP="0009016D">
            <w:pPr>
              <w:pStyle w:val="Default"/>
              <w:rPr>
                <w:sz w:val="20"/>
                <w:szCs w:val="20"/>
              </w:rPr>
            </w:pPr>
          </w:p>
        </w:tc>
      </w:tr>
      <w:tr w:rsidR="008C145E" w:rsidTr="00085AD5">
        <w:trPr>
          <w:trHeight w:val="567"/>
        </w:trPr>
        <w:tc>
          <w:tcPr>
            <w:tcW w:w="1992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Praćenje naplate prihoda i provođenje više mjera prisilne naplate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Postupanje prema važećem Pravilniku o postupcima naplate potraživanja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31.12.202</w:t>
            </w:r>
            <w:r w:rsidR="00F6665E">
              <w:rPr>
                <w:sz w:val="20"/>
                <w:szCs w:val="20"/>
              </w:rPr>
              <w:t>4</w:t>
            </w:r>
            <w:r w:rsidRPr="000E1BCB">
              <w:rPr>
                <w:sz w:val="20"/>
                <w:szCs w:val="20"/>
              </w:rPr>
              <w:t>.</w:t>
            </w:r>
          </w:p>
        </w:tc>
        <w:tc>
          <w:tcPr>
            <w:tcW w:w="1646" w:type="dxa"/>
          </w:tcPr>
          <w:p w:rsidR="008C145E" w:rsidRPr="000E1BCB" w:rsidRDefault="008562FB" w:rsidP="008C14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8C145E">
              <w:rPr>
                <w:sz w:val="20"/>
                <w:szCs w:val="20"/>
              </w:rPr>
              <w:t>00.000,00 kn</w:t>
            </w:r>
            <w:r w:rsidR="008C145E" w:rsidRPr="000E1BCB">
              <w:rPr>
                <w:sz w:val="20"/>
                <w:szCs w:val="20"/>
              </w:rPr>
              <w:t xml:space="preserve">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9D4C02" w:rsidRPr="000E1BCB" w:rsidRDefault="009D4C02" w:rsidP="009D4C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odsjeka za proračun i financije</w:t>
            </w:r>
            <w:r w:rsidRPr="000E1BCB">
              <w:rPr>
                <w:sz w:val="20"/>
                <w:szCs w:val="20"/>
              </w:rPr>
              <w:t xml:space="preserve">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</w:tr>
      <w:tr w:rsidR="008C145E" w:rsidTr="00085AD5">
        <w:trPr>
          <w:trHeight w:val="533"/>
        </w:trPr>
        <w:tc>
          <w:tcPr>
            <w:tcW w:w="1992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lastRenderedPageBreak/>
              <w:t xml:space="preserve">Povećanje financiranja proračunskih projekata i aktivnosti iz vanjskih izvora financiranja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Veća orijentiranost na EU i nacionalne izvore financiranja apliciranjem projekata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31.12.202</w:t>
            </w:r>
            <w:r w:rsidR="00F6665E">
              <w:rPr>
                <w:sz w:val="20"/>
                <w:szCs w:val="20"/>
              </w:rPr>
              <w:t>4</w:t>
            </w:r>
            <w:r w:rsidRPr="000E1BCB">
              <w:rPr>
                <w:sz w:val="20"/>
                <w:szCs w:val="20"/>
              </w:rPr>
              <w:t>.</w:t>
            </w:r>
          </w:p>
        </w:tc>
        <w:tc>
          <w:tcPr>
            <w:tcW w:w="1646" w:type="dxa"/>
          </w:tcPr>
          <w:p w:rsidR="008C145E" w:rsidRPr="000E1BCB" w:rsidRDefault="008562FB" w:rsidP="008C14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631F">
              <w:rPr>
                <w:sz w:val="20"/>
                <w:szCs w:val="20"/>
              </w:rPr>
              <w:t>0</w:t>
            </w:r>
            <w:r w:rsidR="008C145E">
              <w:rPr>
                <w:sz w:val="20"/>
                <w:szCs w:val="20"/>
              </w:rPr>
              <w:t>00.000,00 kn</w:t>
            </w:r>
          </w:p>
        </w:tc>
        <w:tc>
          <w:tcPr>
            <w:tcW w:w="2010" w:type="dxa"/>
          </w:tcPr>
          <w:p w:rsidR="009D4C02" w:rsidRPr="000E1BCB" w:rsidRDefault="009D4C02" w:rsidP="009D4C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odsjeka za proračun i financije</w:t>
            </w:r>
            <w:r w:rsidRPr="000E1BCB">
              <w:rPr>
                <w:sz w:val="20"/>
                <w:szCs w:val="20"/>
              </w:rPr>
              <w:t xml:space="preserve">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</w:tr>
      <w:tr w:rsidR="008C145E" w:rsidTr="00085AD5">
        <w:trPr>
          <w:trHeight w:val="558"/>
        </w:trPr>
        <w:tc>
          <w:tcPr>
            <w:tcW w:w="1992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Smanjenje materijalnih rashoda uz zadržavanje kvalitete rada i pružanja usluga građanima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Maksimalna racionalizacija materijalnih rashoda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31.12.202</w:t>
            </w:r>
            <w:r w:rsidR="00F6665E">
              <w:rPr>
                <w:sz w:val="20"/>
                <w:szCs w:val="20"/>
              </w:rPr>
              <w:t>4</w:t>
            </w:r>
            <w:r w:rsidRPr="000E1BCB">
              <w:rPr>
                <w:sz w:val="20"/>
                <w:szCs w:val="20"/>
              </w:rPr>
              <w:t>.</w:t>
            </w:r>
          </w:p>
        </w:tc>
        <w:tc>
          <w:tcPr>
            <w:tcW w:w="1646" w:type="dxa"/>
          </w:tcPr>
          <w:p w:rsidR="008C145E" w:rsidRPr="000E1BCB" w:rsidRDefault="0002631F" w:rsidP="008C14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C145E">
              <w:rPr>
                <w:sz w:val="20"/>
                <w:szCs w:val="20"/>
              </w:rPr>
              <w:t>00.000,00 kn</w:t>
            </w:r>
          </w:p>
        </w:tc>
        <w:tc>
          <w:tcPr>
            <w:tcW w:w="2010" w:type="dxa"/>
          </w:tcPr>
          <w:p w:rsidR="009D4C02" w:rsidRPr="000E1BCB" w:rsidRDefault="009D4C02" w:rsidP="009D4C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odsjeka za proračun i financije</w:t>
            </w:r>
            <w:r w:rsidRPr="000E1BCB">
              <w:rPr>
                <w:sz w:val="20"/>
                <w:szCs w:val="20"/>
              </w:rPr>
              <w:t xml:space="preserve">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15016" w:rsidRDefault="00415016" w:rsidP="0009016D">
      <w:pPr>
        <w:pStyle w:val="Default"/>
        <w:rPr>
          <w:sz w:val="22"/>
          <w:szCs w:val="22"/>
        </w:rPr>
      </w:pPr>
    </w:p>
    <w:p w:rsidR="00415016" w:rsidRDefault="00415016" w:rsidP="0009016D">
      <w:pPr>
        <w:pStyle w:val="Default"/>
        <w:rPr>
          <w:sz w:val="22"/>
          <w:szCs w:val="22"/>
        </w:rPr>
      </w:pPr>
    </w:p>
    <w:p w:rsidR="00415016" w:rsidRDefault="00415016" w:rsidP="004150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Planirani financijski učinak predloženih mjera je suficit proračuna u razdoblju od 202</w:t>
      </w:r>
      <w:r w:rsidR="0057508D">
        <w:rPr>
          <w:sz w:val="22"/>
          <w:szCs w:val="22"/>
        </w:rPr>
        <w:t>2</w:t>
      </w:r>
      <w:r>
        <w:rPr>
          <w:sz w:val="22"/>
          <w:szCs w:val="22"/>
        </w:rPr>
        <w:t>.-202</w:t>
      </w:r>
      <w:r w:rsidR="0057508D">
        <w:rPr>
          <w:sz w:val="22"/>
          <w:szCs w:val="22"/>
        </w:rPr>
        <w:t>4</w:t>
      </w:r>
      <w:r>
        <w:rPr>
          <w:sz w:val="22"/>
          <w:szCs w:val="22"/>
        </w:rPr>
        <w:t>. godine, odnosno sukcesivno pokriće planiranog manjka prihoda i primitaka u navedenom razdoblju</w:t>
      </w:r>
      <w:r w:rsidR="00BD70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15016" w:rsidRDefault="00415016" w:rsidP="0009016D">
      <w:pPr>
        <w:pStyle w:val="Default"/>
        <w:rPr>
          <w:sz w:val="22"/>
          <w:szCs w:val="22"/>
        </w:rPr>
      </w:pPr>
    </w:p>
    <w:p w:rsidR="00AF7B56" w:rsidRDefault="00AF7B56" w:rsidP="0009016D">
      <w:pPr>
        <w:pStyle w:val="Default"/>
        <w:rPr>
          <w:sz w:val="22"/>
          <w:szCs w:val="22"/>
        </w:rPr>
      </w:pPr>
    </w:p>
    <w:p w:rsidR="005D1A93" w:rsidRDefault="005D1A93" w:rsidP="0009016D">
      <w:pPr>
        <w:pStyle w:val="Default"/>
        <w:rPr>
          <w:sz w:val="22"/>
          <w:szCs w:val="22"/>
        </w:rPr>
      </w:pPr>
    </w:p>
    <w:p w:rsidR="0009016D" w:rsidRDefault="0009016D" w:rsidP="0009016D">
      <w:pPr>
        <w:pStyle w:val="Default"/>
        <w:rPr>
          <w:sz w:val="22"/>
          <w:szCs w:val="22"/>
        </w:rPr>
      </w:pPr>
    </w:p>
    <w:p w:rsidR="0009016D" w:rsidRDefault="0009016D" w:rsidP="008973D1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3F237D">
      <w:pPr>
        <w:pStyle w:val="Default"/>
        <w:rPr>
          <w:sz w:val="22"/>
          <w:szCs w:val="22"/>
        </w:rPr>
      </w:pPr>
    </w:p>
    <w:p w:rsidR="00E57EE2" w:rsidRDefault="00E57EE2"/>
    <w:p w:rsidR="003F237D" w:rsidRDefault="003F237D"/>
    <w:sectPr w:rsidR="003F237D" w:rsidSect="00817500">
      <w:pgSz w:w="11905" w:h="17337"/>
      <w:pgMar w:top="1512" w:right="787" w:bottom="859" w:left="10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7D"/>
    <w:rsid w:val="0000506C"/>
    <w:rsid w:val="00014D7E"/>
    <w:rsid w:val="00022ADC"/>
    <w:rsid w:val="00026172"/>
    <w:rsid w:val="0002631F"/>
    <w:rsid w:val="000544AA"/>
    <w:rsid w:val="00057819"/>
    <w:rsid w:val="0006706B"/>
    <w:rsid w:val="0007090E"/>
    <w:rsid w:val="0007124A"/>
    <w:rsid w:val="00074F0D"/>
    <w:rsid w:val="00082FF7"/>
    <w:rsid w:val="00085AD5"/>
    <w:rsid w:val="0009016D"/>
    <w:rsid w:val="000B0297"/>
    <w:rsid w:val="000B7826"/>
    <w:rsid w:val="000B7B70"/>
    <w:rsid w:val="000C02B2"/>
    <w:rsid w:val="000C1A03"/>
    <w:rsid w:val="000D18F8"/>
    <w:rsid w:val="000E1BCB"/>
    <w:rsid w:val="000F6A9C"/>
    <w:rsid w:val="001175A2"/>
    <w:rsid w:val="00187EEF"/>
    <w:rsid w:val="001A522C"/>
    <w:rsid w:val="001B2414"/>
    <w:rsid w:val="001B2CD5"/>
    <w:rsid w:val="001B3DC9"/>
    <w:rsid w:val="001B5BB2"/>
    <w:rsid w:val="001C2A8E"/>
    <w:rsid w:val="001C46CE"/>
    <w:rsid w:val="001D51DC"/>
    <w:rsid w:val="001D7728"/>
    <w:rsid w:val="001E38B9"/>
    <w:rsid w:val="001E511D"/>
    <w:rsid w:val="001F0BC9"/>
    <w:rsid w:val="001F2944"/>
    <w:rsid w:val="001F61B9"/>
    <w:rsid w:val="0021631A"/>
    <w:rsid w:val="00216AEE"/>
    <w:rsid w:val="00227626"/>
    <w:rsid w:val="00233F5F"/>
    <w:rsid w:val="00252902"/>
    <w:rsid w:val="00270791"/>
    <w:rsid w:val="00280491"/>
    <w:rsid w:val="002A6FE9"/>
    <w:rsid w:val="002B53EE"/>
    <w:rsid w:val="002D0DAC"/>
    <w:rsid w:val="002D1134"/>
    <w:rsid w:val="002D1DB5"/>
    <w:rsid w:val="002F13C5"/>
    <w:rsid w:val="002F36E7"/>
    <w:rsid w:val="002F4295"/>
    <w:rsid w:val="003065B2"/>
    <w:rsid w:val="00306C60"/>
    <w:rsid w:val="00314F09"/>
    <w:rsid w:val="00331532"/>
    <w:rsid w:val="00341E20"/>
    <w:rsid w:val="00354CA6"/>
    <w:rsid w:val="003607D9"/>
    <w:rsid w:val="00363F21"/>
    <w:rsid w:val="00375A34"/>
    <w:rsid w:val="00393BD7"/>
    <w:rsid w:val="00394EDA"/>
    <w:rsid w:val="003B46B3"/>
    <w:rsid w:val="003B494B"/>
    <w:rsid w:val="003C3DF6"/>
    <w:rsid w:val="003D4464"/>
    <w:rsid w:val="003D6793"/>
    <w:rsid w:val="003E2A52"/>
    <w:rsid w:val="003F1104"/>
    <w:rsid w:val="003F237D"/>
    <w:rsid w:val="003F6D9C"/>
    <w:rsid w:val="004046CB"/>
    <w:rsid w:val="0041154A"/>
    <w:rsid w:val="00415016"/>
    <w:rsid w:val="00420AAB"/>
    <w:rsid w:val="00421A3A"/>
    <w:rsid w:val="004225ED"/>
    <w:rsid w:val="00457013"/>
    <w:rsid w:val="00467CB3"/>
    <w:rsid w:val="00477285"/>
    <w:rsid w:val="0049464E"/>
    <w:rsid w:val="00495BD3"/>
    <w:rsid w:val="004A3186"/>
    <w:rsid w:val="004A4175"/>
    <w:rsid w:val="004B0479"/>
    <w:rsid w:val="004B2EE9"/>
    <w:rsid w:val="004C4D6F"/>
    <w:rsid w:val="004E2233"/>
    <w:rsid w:val="004E28B3"/>
    <w:rsid w:val="004E5391"/>
    <w:rsid w:val="004F490D"/>
    <w:rsid w:val="00502E11"/>
    <w:rsid w:val="00503FB6"/>
    <w:rsid w:val="00514D73"/>
    <w:rsid w:val="00520FA7"/>
    <w:rsid w:val="00526459"/>
    <w:rsid w:val="0052659F"/>
    <w:rsid w:val="00531973"/>
    <w:rsid w:val="005354E8"/>
    <w:rsid w:val="00551B48"/>
    <w:rsid w:val="0055418E"/>
    <w:rsid w:val="00560231"/>
    <w:rsid w:val="00573840"/>
    <w:rsid w:val="0057508D"/>
    <w:rsid w:val="00581EBE"/>
    <w:rsid w:val="00582257"/>
    <w:rsid w:val="00594584"/>
    <w:rsid w:val="005B1E7A"/>
    <w:rsid w:val="005B4A0A"/>
    <w:rsid w:val="005C526D"/>
    <w:rsid w:val="005D1A93"/>
    <w:rsid w:val="005D2852"/>
    <w:rsid w:val="005D41D2"/>
    <w:rsid w:val="005E39B2"/>
    <w:rsid w:val="005E50E8"/>
    <w:rsid w:val="0061030A"/>
    <w:rsid w:val="00634422"/>
    <w:rsid w:val="006428B1"/>
    <w:rsid w:val="00644CAA"/>
    <w:rsid w:val="006624A7"/>
    <w:rsid w:val="00681936"/>
    <w:rsid w:val="00696F1D"/>
    <w:rsid w:val="006A5725"/>
    <w:rsid w:val="006B645F"/>
    <w:rsid w:val="006B6997"/>
    <w:rsid w:val="006B7B14"/>
    <w:rsid w:val="006C21A2"/>
    <w:rsid w:val="006E0677"/>
    <w:rsid w:val="006E3DB9"/>
    <w:rsid w:val="00700D12"/>
    <w:rsid w:val="0075527A"/>
    <w:rsid w:val="00767A21"/>
    <w:rsid w:val="00770295"/>
    <w:rsid w:val="007703F0"/>
    <w:rsid w:val="00773B52"/>
    <w:rsid w:val="007775FC"/>
    <w:rsid w:val="00794AAC"/>
    <w:rsid w:val="007A7CCF"/>
    <w:rsid w:val="007B0648"/>
    <w:rsid w:val="007B21A7"/>
    <w:rsid w:val="007B673A"/>
    <w:rsid w:val="007C328C"/>
    <w:rsid w:val="007D6997"/>
    <w:rsid w:val="007E125F"/>
    <w:rsid w:val="007E1DE3"/>
    <w:rsid w:val="007E6D2F"/>
    <w:rsid w:val="007F1CC1"/>
    <w:rsid w:val="007F4F76"/>
    <w:rsid w:val="007F4F8B"/>
    <w:rsid w:val="007F5AC8"/>
    <w:rsid w:val="00814248"/>
    <w:rsid w:val="00817500"/>
    <w:rsid w:val="008305CC"/>
    <w:rsid w:val="00832187"/>
    <w:rsid w:val="008347EA"/>
    <w:rsid w:val="00840BE6"/>
    <w:rsid w:val="008562FB"/>
    <w:rsid w:val="008576E9"/>
    <w:rsid w:val="008602C7"/>
    <w:rsid w:val="0086717B"/>
    <w:rsid w:val="00873124"/>
    <w:rsid w:val="00873CEF"/>
    <w:rsid w:val="00874FCF"/>
    <w:rsid w:val="0088489C"/>
    <w:rsid w:val="00887200"/>
    <w:rsid w:val="0089101A"/>
    <w:rsid w:val="00895208"/>
    <w:rsid w:val="008973D1"/>
    <w:rsid w:val="008C145E"/>
    <w:rsid w:val="008D3D53"/>
    <w:rsid w:val="008D3F64"/>
    <w:rsid w:val="009114B9"/>
    <w:rsid w:val="00926EA5"/>
    <w:rsid w:val="009425E5"/>
    <w:rsid w:val="0094330A"/>
    <w:rsid w:val="009545DD"/>
    <w:rsid w:val="009562D0"/>
    <w:rsid w:val="00956698"/>
    <w:rsid w:val="00962A14"/>
    <w:rsid w:val="0096445B"/>
    <w:rsid w:val="009748F1"/>
    <w:rsid w:val="009951CA"/>
    <w:rsid w:val="00996010"/>
    <w:rsid w:val="009B1147"/>
    <w:rsid w:val="009C2F0E"/>
    <w:rsid w:val="009C75BD"/>
    <w:rsid w:val="009D33AA"/>
    <w:rsid w:val="009D4C02"/>
    <w:rsid w:val="009D6E96"/>
    <w:rsid w:val="009E24F0"/>
    <w:rsid w:val="009E525C"/>
    <w:rsid w:val="009F3CD7"/>
    <w:rsid w:val="009F6486"/>
    <w:rsid w:val="00A43367"/>
    <w:rsid w:val="00A536E7"/>
    <w:rsid w:val="00A66069"/>
    <w:rsid w:val="00A83B53"/>
    <w:rsid w:val="00A938C7"/>
    <w:rsid w:val="00AA3CBB"/>
    <w:rsid w:val="00AB5029"/>
    <w:rsid w:val="00AD7658"/>
    <w:rsid w:val="00AF7B56"/>
    <w:rsid w:val="00B109D0"/>
    <w:rsid w:val="00B2117B"/>
    <w:rsid w:val="00B24709"/>
    <w:rsid w:val="00B2611B"/>
    <w:rsid w:val="00B539AE"/>
    <w:rsid w:val="00B61018"/>
    <w:rsid w:val="00B75704"/>
    <w:rsid w:val="00B83C75"/>
    <w:rsid w:val="00BB08D0"/>
    <w:rsid w:val="00BB2F17"/>
    <w:rsid w:val="00BC1889"/>
    <w:rsid w:val="00BC1B8A"/>
    <w:rsid w:val="00BC4829"/>
    <w:rsid w:val="00BD7031"/>
    <w:rsid w:val="00BE057A"/>
    <w:rsid w:val="00BE6F35"/>
    <w:rsid w:val="00BF2FA1"/>
    <w:rsid w:val="00BF79EC"/>
    <w:rsid w:val="00C02191"/>
    <w:rsid w:val="00C06984"/>
    <w:rsid w:val="00C16CC5"/>
    <w:rsid w:val="00C21301"/>
    <w:rsid w:val="00C27CB4"/>
    <w:rsid w:val="00C62E96"/>
    <w:rsid w:val="00C679B3"/>
    <w:rsid w:val="00C81874"/>
    <w:rsid w:val="00C86728"/>
    <w:rsid w:val="00C92367"/>
    <w:rsid w:val="00C97C4A"/>
    <w:rsid w:val="00CA1BA2"/>
    <w:rsid w:val="00CB067D"/>
    <w:rsid w:val="00CB2046"/>
    <w:rsid w:val="00CB53E2"/>
    <w:rsid w:val="00CC5F2E"/>
    <w:rsid w:val="00CD1AED"/>
    <w:rsid w:val="00CD410E"/>
    <w:rsid w:val="00CE1F04"/>
    <w:rsid w:val="00CE3A83"/>
    <w:rsid w:val="00CF0385"/>
    <w:rsid w:val="00CF7A1C"/>
    <w:rsid w:val="00D01899"/>
    <w:rsid w:val="00D050CD"/>
    <w:rsid w:val="00D23D01"/>
    <w:rsid w:val="00D23DA4"/>
    <w:rsid w:val="00D31979"/>
    <w:rsid w:val="00D44828"/>
    <w:rsid w:val="00D622EA"/>
    <w:rsid w:val="00D81925"/>
    <w:rsid w:val="00D854CF"/>
    <w:rsid w:val="00D96A46"/>
    <w:rsid w:val="00DA4D9D"/>
    <w:rsid w:val="00DA6D47"/>
    <w:rsid w:val="00DB08D2"/>
    <w:rsid w:val="00DB24A9"/>
    <w:rsid w:val="00DB6465"/>
    <w:rsid w:val="00DC059A"/>
    <w:rsid w:val="00DC3B6C"/>
    <w:rsid w:val="00DD1E16"/>
    <w:rsid w:val="00DD21B3"/>
    <w:rsid w:val="00DD3258"/>
    <w:rsid w:val="00DD3702"/>
    <w:rsid w:val="00DE46E6"/>
    <w:rsid w:val="00DE5234"/>
    <w:rsid w:val="00E208E7"/>
    <w:rsid w:val="00E244A3"/>
    <w:rsid w:val="00E27654"/>
    <w:rsid w:val="00E32CB4"/>
    <w:rsid w:val="00E41E9D"/>
    <w:rsid w:val="00E4282A"/>
    <w:rsid w:val="00E53453"/>
    <w:rsid w:val="00E57EE2"/>
    <w:rsid w:val="00E6342B"/>
    <w:rsid w:val="00E74DEA"/>
    <w:rsid w:val="00E7631C"/>
    <w:rsid w:val="00E83EA2"/>
    <w:rsid w:val="00EC3937"/>
    <w:rsid w:val="00F14503"/>
    <w:rsid w:val="00F17D00"/>
    <w:rsid w:val="00F33617"/>
    <w:rsid w:val="00F34A59"/>
    <w:rsid w:val="00F42228"/>
    <w:rsid w:val="00F44D9B"/>
    <w:rsid w:val="00F45E27"/>
    <w:rsid w:val="00F55D03"/>
    <w:rsid w:val="00F6665E"/>
    <w:rsid w:val="00F736E7"/>
    <w:rsid w:val="00F73782"/>
    <w:rsid w:val="00F7472C"/>
    <w:rsid w:val="00F84EFA"/>
    <w:rsid w:val="00F926B5"/>
    <w:rsid w:val="00FA372F"/>
    <w:rsid w:val="00FC35D3"/>
    <w:rsid w:val="00FC69A1"/>
    <w:rsid w:val="00FD10D0"/>
    <w:rsid w:val="00FE1C64"/>
    <w:rsid w:val="00FE2EBE"/>
    <w:rsid w:val="00FF1AC6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DCBB"/>
  <w15:chartTrackingRefBased/>
  <w15:docId w15:val="{9F3D972E-24E9-4E5B-AC5E-68BB8A1D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F2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87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5665-5446-4E14-97C0-A2D7EEFF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8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Šimić</dc:creator>
  <cp:keywords/>
  <dc:description/>
  <cp:lastModifiedBy>Vjekoslav Šimić</cp:lastModifiedBy>
  <cp:revision>316</cp:revision>
  <dcterms:created xsi:type="dcterms:W3CDTF">2020-05-11T12:14:00Z</dcterms:created>
  <dcterms:modified xsi:type="dcterms:W3CDTF">2021-12-29T07:38:00Z</dcterms:modified>
</cp:coreProperties>
</file>